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hint="eastAsia" w:ascii="华文中宋" w:hAnsi="华文中宋" w:eastAsia="华文中宋" w:cs="宋体"/>
          <w:b/>
          <w:kern w:val="0"/>
          <w:sz w:val="52"/>
          <w:szCs w:val="52"/>
          <w:lang w:val="en-US" w:eastAsia="zh-CN"/>
        </w:rPr>
      </w:pPr>
      <w:r>
        <w:rPr>
          <w:rFonts w:hint="eastAsia" w:ascii="华文中宋" w:hAnsi="华文中宋" w:eastAsia="华文中宋" w:cs="宋体"/>
          <w:b/>
          <w:kern w:val="0"/>
          <w:sz w:val="52"/>
          <w:szCs w:val="5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34"/>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34"/>
          <w:kern w:val="0"/>
          <w:sz w:val="36"/>
          <w:szCs w:val="36"/>
          <w:lang w:eastAsia="zh-CN"/>
        </w:rPr>
        <w:t>瓦石峡镇塔什萨依村养殖小区青贮窖建设项目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7"/>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（二）项目预算绩效目标设定情况</w:t>
      </w:r>
    </w:p>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64</w:t>
      </w:r>
      <w:r>
        <w:rPr>
          <w:rFonts w:hint="eastAsia" w:ascii="仿宋" w:hAnsi="仿宋" w:eastAsia="仿宋" w:cs="仿宋"/>
          <w:sz w:val="32"/>
          <w:szCs w:val="32"/>
        </w:rPr>
        <w:t>万元，</w:t>
      </w:r>
      <w:r>
        <w:rPr>
          <w:rFonts w:hint="eastAsia" w:ascii="Times New Roman" w:hAnsi="Times New Roman" w:eastAsia="仿宋_GB2312" w:cs="Times New Roman"/>
          <w:sz w:val="32"/>
          <w:szCs w:val="32"/>
          <w:lang w:val="en-US" w:eastAsia="zh-CN"/>
        </w:rPr>
        <w:t>在</w:t>
      </w:r>
      <w:r>
        <w:rPr>
          <w:rFonts w:hint="default" w:ascii="Times New Roman" w:hAnsi="Times New Roman" w:eastAsia="仿宋_GB2312" w:cs="Times New Roman"/>
          <w:sz w:val="32"/>
          <w:szCs w:val="32"/>
          <w:lang w:val="en-US" w:eastAsia="zh-CN"/>
        </w:rPr>
        <w:t>塔什萨依养殖小区的</w:t>
      </w:r>
      <w:r>
        <w:rPr>
          <w:rFonts w:hint="eastAsia" w:ascii="Times New Roman" w:hAnsi="Times New Roman" w:eastAsia="仿宋_GB2312" w:cs="Times New Roman"/>
          <w:sz w:val="32"/>
          <w:szCs w:val="32"/>
          <w:lang w:val="en-US" w:eastAsia="zh-CN"/>
        </w:rPr>
        <w:t>新建</w:t>
      </w:r>
      <w:r>
        <w:rPr>
          <w:rFonts w:hint="default" w:ascii="Times New Roman" w:hAnsi="Times New Roman" w:eastAsia="仿宋_GB2312" w:cs="Times New Roman"/>
          <w:sz w:val="32"/>
          <w:szCs w:val="32"/>
          <w:lang w:val="en-US" w:eastAsia="zh-CN"/>
        </w:rPr>
        <w:t>青贮窖</w:t>
      </w:r>
      <w:r>
        <w:rPr>
          <w:rFonts w:hint="eastAsia" w:ascii="Times New Roman" w:hAnsi="Times New Roman" w:eastAsia="仿宋_GB2312" w:cs="Times New Roman"/>
          <w:sz w:val="32"/>
          <w:szCs w:val="32"/>
          <w:lang w:val="en-US" w:eastAsia="zh-CN"/>
        </w:rPr>
        <w:t>1座</w:t>
      </w:r>
      <w:r>
        <w:rPr>
          <w:rFonts w:hint="default" w:ascii="Times New Roman" w:hAnsi="Times New Roman" w:eastAsia="仿宋_GB2312" w:cs="Times New Roman"/>
          <w:sz w:val="32"/>
          <w:szCs w:val="32"/>
          <w:lang w:val="en-US" w:eastAsia="zh-CN"/>
        </w:rPr>
        <w:t>。青贮窖为三壁式的（长100米、宽</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米、高4米、地下2.5米，地上1.5米），底部开挖两个集水坑（池底为100厚、c25素混凝土）宽40cm</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深40cm。青贮池挡土墙及护坎均采用毛石，M5号水泥砂浆砌筑，1：2水泥砂浆勾石缝，用于外表面的石面要求平整。挡土墙及护坎没20米留变形缝，缝宽2㎝，沥青灌注。项目建成后，可便于进出饲料。</w:t>
      </w:r>
    </w:p>
    <w:p>
      <w:pPr>
        <w:keepNext w:val="0"/>
        <w:keepLines w:val="0"/>
        <w:pageBreakBefore w:val="0"/>
        <w:kinsoku/>
        <w:wordWrap/>
        <w:overflowPunct/>
        <w:topLinePunct w:val="0"/>
        <w:autoSpaceDE/>
        <w:autoSpaceDN/>
        <w:bidi w:val="0"/>
        <w:adjustRightInd/>
        <w:spacing w:line="560" w:lineRule="exact"/>
        <w:ind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仿宋" w:hAnsi="仿宋" w:eastAsia="仿宋" w:cs="仿宋"/>
          <w:sz w:val="32"/>
          <w:szCs w:val="32"/>
        </w:rPr>
        <w:t>2.主要目标任务：</w:t>
      </w:r>
      <w:r>
        <w:rPr>
          <w:rFonts w:hint="eastAsia" w:ascii="Times New Roman" w:hAnsi="Times New Roman" w:eastAsia="仿宋_GB2312" w:cs="Times New Roman"/>
          <w:sz w:val="32"/>
          <w:lang w:eastAsia="zh-CN"/>
        </w:rPr>
        <w:t>青贮窖的建设可提供丰裕的原料保障，加之该村有着悠久育肥、养殖传统和经验。因此在该区域实施牲畜养殖是可行的。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7"/>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64</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2019年度中央新增财政专项扶贫资金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瓦石峡镇塔什萨依村养殖小区青贮窖项目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月建设塔什萨依村养殖小区青贮窖项目。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日，由若羌县扶贫开发领导小组牵头组织农业农村局、住房和城乡建设局等部门组成验收组对该项目进行验收。验收组一行通过查阅资料档案、实地查看工程建设情况一致同意该项目等级为合格，通过验收。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spacing w:val="-4"/>
          <w:sz w:val="32"/>
          <w:szCs w:val="32"/>
        </w:rPr>
      </w:pPr>
      <w:r>
        <w:rPr>
          <w:rStyle w:val="7"/>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rPr>
      </w:pPr>
      <w:r>
        <w:rPr>
          <w:rStyle w:val="7"/>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pacing w:line="560" w:lineRule="exact"/>
        <w:ind w:left="0" w:leftChars="0" w:right="0" w:rightChars="0" w:firstLine="624" w:firstLineChars="200"/>
        <w:jc w:val="both"/>
        <w:textAlignment w:val="auto"/>
        <w:outlineLvl w:val="9"/>
        <w:rPr>
          <w:rFonts w:hint="eastAsia" w:ascii="仿宋" w:hAnsi="仿宋" w:eastAsia="仿宋" w:cs="仿宋"/>
          <w:sz w:val="32"/>
          <w:lang w:val="en-US" w:eastAsia="zh-CN"/>
        </w:rPr>
      </w:pPr>
      <w:r>
        <w:rPr>
          <w:rStyle w:val="7"/>
          <w:rFonts w:hint="eastAsia" w:ascii="仿宋" w:hAnsi="仿宋" w:eastAsia="仿宋" w:cs="仿宋"/>
          <w:b w:val="0"/>
          <w:spacing w:val="-4"/>
          <w:sz w:val="32"/>
          <w:szCs w:val="32"/>
        </w:rPr>
        <w:t>2019年</w:t>
      </w:r>
      <w:r>
        <w:rPr>
          <w:rStyle w:val="7"/>
          <w:rFonts w:hint="eastAsia" w:ascii="仿宋" w:hAnsi="仿宋" w:eastAsia="仿宋" w:cs="仿宋"/>
          <w:b w:val="0"/>
          <w:spacing w:val="-4"/>
          <w:sz w:val="32"/>
          <w:szCs w:val="32"/>
          <w:lang w:val="en-US" w:eastAsia="zh-CN"/>
        </w:rPr>
        <w:t>8</w:t>
      </w:r>
      <w:r>
        <w:rPr>
          <w:rStyle w:val="7"/>
          <w:rFonts w:hint="eastAsia" w:ascii="仿宋" w:hAnsi="仿宋" w:eastAsia="仿宋" w:cs="仿宋"/>
          <w:b w:val="0"/>
          <w:spacing w:val="-4"/>
          <w:sz w:val="32"/>
          <w:szCs w:val="32"/>
        </w:rPr>
        <w:t>月</w:t>
      </w:r>
      <w:r>
        <w:rPr>
          <w:rStyle w:val="7"/>
          <w:rFonts w:hint="eastAsia" w:ascii="仿宋" w:hAnsi="仿宋" w:eastAsia="仿宋" w:cs="仿宋"/>
          <w:b w:val="0"/>
          <w:spacing w:val="-4"/>
          <w:sz w:val="32"/>
          <w:szCs w:val="32"/>
          <w:lang w:val="en-US" w:eastAsia="zh-CN"/>
        </w:rPr>
        <w:t>24</w:t>
      </w:r>
      <w:r>
        <w:rPr>
          <w:rStyle w:val="7"/>
          <w:rFonts w:hint="eastAsia" w:ascii="仿宋" w:hAnsi="仿宋" w:eastAsia="仿宋" w:cs="仿宋"/>
          <w:b w:val="0"/>
          <w:spacing w:val="-4"/>
          <w:sz w:val="32"/>
          <w:szCs w:val="32"/>
        </w:rPr>
        <w:t>日前已</w:t>
      </w:r>
      <w:r>
        <w:rPr>
          <w:rStyle w:val="7"/>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w:t>
      </w:r>
      <w:r>
        <w:rPr>
          <w:rFonts w:hint="eastAsia" w:ascii="方正仿宋_GBK" w:hAnsi="方正仿宋_GBK" w:eastAsia="方正仿宋_GBK" w:cs="方正仿宋_GBK"/>
          <w:sz w:val="32"/>
          <w:lang w:val="en-US" w:eastAsia="zh-CN"/>
        </w:rPr>
        <w:t>，</w:t>
      </w:r>
      <w:r>
        <w:rPr>
          <w:rFonts w:hint="default" w:ascii="Times New Roman" w:hAnsi="Times New Roman" w:eastAsia="仿宋_GB2312" w:cs="Times New Roman"/>
          <w:sz w:val="32"/>
          <w:lang w:eastAsia="zh-CN"/>
        </w:rPr>
        <w:t>可有</w:t>
      </w:r>
      <w:r>
        <w:rPr>
          <w:rFonts w:hint="eastAsia" w:ascii="Times New Roman" w:hAnsi="Times New Roman" w:eastAsia="仿宋_GB2312" w:cs="Times New Roman"/>
          <w:sz w:val="32"/>
          <w:lang w:eastAsia="zh-CN"/>
        </w:rPr>
        <w:t>力带动养殖产业的发展。推进农业化进程，使农牧业生态系统对资源充分利用，促进农牧民的增收，实现经济效益与社会效益的有机统一。不断提高草食畜养殖生产水平。养殖业的发展，减少了秸秆污染、保护了生态环境，促进了村容村貌的整洁。农业产生的废弃物和畜牧业产生的废物通过角色互换，促进了种养结合，推动建立可持续发展农业和生态农业。</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7"/>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7"/>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7"/>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1、</w:t>
      </w:r>
      <w:r>
        <w:rPr>
          <w:rStyle w:val="7"/>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bCs w:val="0"/>
          <w:spacing w:val="-4"/>
          <w:sz w:val="32"/>
          <w:szCs w:val="32"/>
          <w:lang w:val="en-US" w:eastAsia="zh-CN"/>
        </w:rPr>
      </w:pPr>
      <w:r>
        <w:rPr>
          <w:rStyle w:val="7"/>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7"/>
          <w:rFonts w:hint="eastAsia" w:ascii="仿宋" w:hAnsi="仿宋" w:eastAsia="仿宋" w:cs="仿宋"/>
          <w:b/>
          <w:bCs w:val="0"/>
          <w:spacing w:val="-4"/>
          <w:sz w:val="32"/>
          <w:szCs w:val="32"/>
          <w:lang w:eastAsia="zh-CN"/>
        </w:rPr>
      </w:pPr>
      <w:r>
        <w:rPr>
          <w:rStyle w:val="7"/>
          <w:rFonts w:hint="eastAsia" w:ascii="仿宋" w:hAnsi="仿宋" w:eastAsia="仿宋" w:cs="仿宋"/>
          <w:b/>
          <w:bCs w:val="0"/>
          <w:spacing w:val="-4"/>
          <w:sz w:val="32"/>
          <w:szCs w:val="32"/>
          <w:lang w:val="en-US" w:eastAsia="zh-CN"/>
        </w:rPr>
        <w:t>2、</w:t>
      </w:r>
      <w:r>
        <w:rPr>
          <w:rStyle w:val="7"/>
          <w:rFonts w:hint="eastAsia" w:ascii="仿宋" w:hAnsi="仿宋" w:eastAsia="仿宋" w:cs="仿宋"/>
          <w:b/>
          <w:bCs w:val="0"/>
          <w:spacing w:val="-4"/>
          <w:sz w:val="32"/>
          <w:szCs w:val="32"/>
          <w:lang w:eastAsia="zh-CN"/>
        </w:rPr>
        <w:t>对项目法人的建</w:t>
      </w:r>
      <w:r>
        <w:rPr>
          <w:rStyle w:val="7"/>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eastAsia="zh-CN"/>
        </w:rPr>
      </w:pPr>
      <w:r>
        <w:rPr>
          <w:rStyle w:val="7"/>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lang w:val="en-US" w:eastAsia="zh-CN"/>
        </w:rPr>
      </w:pPr>
      <w:r>
        <w:rPr>
          <w:rStyle w:val="7"/>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7"/>
          <w:rFonts w:hint="eastAsia" w:ascii="仿宋" w:hAnsi="仿宋" w:eastAsia="仿宋" w:cs="仿宋"/>
          <w:b w:val="0"/>
          <w:spacing w:val="-4"/>
          <w:sz w:val="32"/>
          <w:szCs w:val="32"/>
        </w:rPr>
      </w:pPr>
      <w:r>
        <w:rPr>
          <w:rStyle w:val="7"/>
          <w:rFonts w:hint="eastAsia" w:ascii="仿宋" w:hAnsi="仿宋" w:eastAsia="仿宋" w:cs="仿宋"/>
          <w:b w:val="0"/>
          <w:spacing w:val="-4"/>
          <w:sz w:val="32"/>
          <w:szCs w:val="32"/>
        </w:rPr>
        <w:t>《</w:t>
      </w:r>
      <w:r>
        <w:rPr>
          <w:rStyle w:val="7"/>
          <w:rFonts w:hint="eastAsia" w:ascii="仿宋" w:hAnsi="仿宋" w:eastAsia="仿宋" w:cs="仿宋"/>
          <w:b w:val="0"/>
          <w:spacing w:val="-4"/>
          <w:sz w:val="32"/>
          <w:szCs w:val="32"/>
          <w:lang w:eastAsia="zh-CN"/>
        </w:rPr>
        <w:t>若羌县瓦石峡镇</w:t>
      </w:r>
      <w:r>
        <w:rPr>
          <w:rStyle w:val="7"/>
          <w:rFonts w:hint="eastAsia" w:ascii="仿宋" w:hAnsi="仿宋" w:eastAsia="仿宋" w:cs="仿宋"/>
          <w:b w:val="0"/>
          <w:spacing w:val="-4"/>
          <w:sz w:val="32"/>
          <w:szCs w:val="32"/>
        </w:rPr>
        <w:t>财政项目支出绩效自评表》</w:t>
      </w: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7"/>
                <w:rFonts w:hint="eastAsia" w:ascii="仿宋" w:hAnsi="仿宋" w:eastAsia="仿宋"/>
                <w:b w:val="0"/>
                <w:spacing w:val="-4"/>
                <w:sz w:val="32"/>
                <w:szCs w:val="32"/>
                <w:lang w:eastAsia="zh-CN"/>
              </w:rPr>
              <w:t>若羌县瓦石峡镇</w:t>
            </w:r>
            <w:r>
              <w:rPr>
                <w:rStyle w:val="7"/>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塔什萨依村养殖小区青贮窖建设</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64</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64</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64</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64</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按照政府债券资金管理要求规范管理使用，于发行之日起3个月内将64万元资金使用完毕。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eastAsiaTheme="minorEastAsia"/>
                <w:kern w:val="0"/>
                <w:sz w:val="20"/>
                <w:szCs w:val="20"/>
                <w:lang w:val="en-US" w:eastAsia="zh-CN"/>
              </w:rPr>
              <w:t>64</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建设青贮窖1座</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采用毛石、M5号水泥砂浆砌筑</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2019年10月10日前</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2019年10月10日前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建设青贮窖成本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≥64万元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≥64万元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精饲料加工、提高分栏率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eastAsia="宋体" w:cs="宋体"/>
                <w:kern w:val="0"/>
                <w:sz w:val="20"/>
                <w:szCs w:val="20"/>
                <w:lang w:eastAsia="zh-CN"/>
              </w:rPr>
            </w:pPr>
            <w:r>
              <w:rPr>
                <w:rFonts w:hint="eastAsia" w:ascii="宋体" w:hAnsi="宋体" w:cs="宋体"/>
                <w:kern w:val="0"/>
                <w:sz w:val="20"/>
                <w:szCs w:val="20"/>
                <w:lang w:eastAsia="zh-CN"/>
              </w:rPr>
              <w:t>社会效益指标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减少对空气的污染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促进贫困村牲畜养殖规模化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长期</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长期</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w:t>
            </w:r>
            <w:bookmarkStart w:id="0" w:name="_GoBack"/>
            <w:bookmarkEnd w:id="0"/>
            <w:r>
              <w:rPr>
                <w:rFonts w:hint="eastAsia" w:ascii="宋体" w:hAnsi="宋体" w:cs="宋体"/>
                <w:kern w:val="0"/>
                <w:sz w:val="20"/>
                <w:szCs w:val="20"/>
              </w:rPr>
              <w:t>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Style w:val="10"/>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7"/>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pacing w:line="560" w:lineRule="exact"/>
        <w:ind w:firstLine="420" w:firstLineChars="200"/>
      </w:pPr>
    </w:p>
    <w:p>
      <w:pPr>
        <w:keepNext w:val="0"/>
        <w:keepLines w:val="0"/>
        <w:pageBreakBefore w:val="0"/>
        <w:kinsoku/>
        <w:wordWrap/>
        <w:overflowPunct/>
        <w:topLinePunct w:val="0"/>
        <w:autoSpaceDE/>
        <w:autoSpaceDN/>
        <w:bidi w:val="0"/>
        <w:adjustRightIn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16117336"/>
    <w:rsid w:val="26D85ED6"/>
    <w:rsid w:val="3FCF4763"/>
    <w:rsid w:val="4C215EDF"/>
    <w:rsid w:val="5716652D"/>
    <w:rsid w:val="74D86AF2"/>
    <w:rsid w:val="7AAB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样式1"/>
    <w:basedOn w:val="1"/>
    <w:qFormat/>
    <w:uiPriority w:val="0"/>
  </w:style>
  <w:style w:type="paragraph" w:styleId="3">
    <w:name w:val="Body Text Indent"/>
    <w:basedOn w:val="1"/>
    <w:qFormat/>
    <w:uiPriority w:val="0"/>
    <w:pPr>
      <w:ind w:firstLine="630" w:firstLineChars="210"/>
    </w:pPr>
    <w:rPr>
      <w:sz w:val="30"/>
      <w:lang w:val="en-US" w:eastAsia="zh-CN" w:bidi="ar-SA"/>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7">
    <w:name w:val="Strong"/>
    <w:basedOn w:val="6"/>
    <w:qFormat/>
    <w:uiPriority w:val="0"/>
    <w:rPr>
      <w:b/>
      <w:bCs/>
    </w:rPr>
  </w:style>
  <w:style w:type="character" w:customStyle="1" w:styleId="8">
    <w:name w:val="font11"/>
    <w:basedOn w:val="6"/>
    <w:qFormat/>
    <w:uiPriority w:val="0"/>
    <w:rPr>
      <w:rFonts w:hint="eastAsia" w:ascii="宋体" w:hAnsi="宋体" w:eastAsia="宋体" w:cs="宋体"/>
      <w:color w:val="000000"/>
      <w:sz w:val="20"/>
      <w:szCs w:val="20"/>
      <w:u w:val="none"/>
    </w:rPr>
  </w:style>
  <w:style w:type="character" w:customStyle="1" w:styleId="9">
    <w:name w:val="font01"/>
    <w:basedOn w:val="6"/>
    <w:qFormat/>
    <w:uiPriority w:val="0"/>
    <w:rPr>
      <w:rFonts w:ascii="宋体" w:hAnsi="宋体" w:eastAsia="宋体" w:cs="宋体"/>
      <w:color w:val="000000"/>
      <w:sz w:val="20"/>
      <w:szCs w:val="20"/>
      <w:u w:val="none"/>
    </w:rPr>
  </w:style>
  <w:style w:type="character" w:customStyle="1" w:styleId="10">
    <w:name w:val="font31"/>
    <w:basedOn w:val="6"/>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