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964" w:firstLineChars="200"/>
        <w:jc w:val="center"/>
        <w:textAlignment w:val="auto"/>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若羌</w:t>
      </w:r>
      <w:r>
        <w:rPr>
          <w:rFonts w:hint="eastAsia" w:ascii="方正小标宋_GBK" w:hAnsi="华文中宋" w:eastAsia="方正小标宋_GBK" w:cs="宋体"/>
          <w:b/>
          <w:kern w:val="0"/>
          <w:sz w:val="48"/>
          <w:szCs w:val="48"/>
          <w:lang w:eastAsia="zh-CN"/>
        </w:rPr>
        <w:t>县瓦石峡镇人民政府</w:t>
      </w:r>
      <w:r>
        <w:rPr>
          <w:rFonts w:hint="eastAsia" w:ascii="方正小标宋_GBK" w:hAnsi="华文中宋" w:eastAsia="方正小标宋_GBK" w:cs="宋体"/>
          <w:b/>
          <w:kern w:val="0"/>
          <w:sz w:val="48"/>
          <w:szCs w:val="48"/>
        </w:rPr>
        <w:t>财政扶贫项目支出绩效自评报告</w:t>
      </w: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720" w:firstLineChars="200"/>
        <w:jc w:val="center"/>
        <w:textAlignment w:val="auto"/>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2019</w:t>
      </w:r>
      <w:r>
        <w:rPr>
          <w:rFonts w:hint="eastAsia" w:hAnsi="宋体" w:eastAsia="仿宋_GB2312" w:cs="宋体"/>
          <w:kern w:val="0"/>
          <w:sz w:val="36"/>
          <w:szCs w:val="36"/>
        </w:rPr>
        <w:t>年度）</w:t>
      </w: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720" w:firstLineChars="200"/>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ind w:firstLine="720" w:firstLineChars="200"/>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lang w:eastAsia="zh-CN"/>
        </w:rPr>
      </w:pPr>
      <w:r>
        <w:rPr>
          <w:rFonts w:hint="eastAsia" w:ascii="仿宋" w:hAnsi="仿宋" w:eastAsia="仿宋" w:cs="仿宋"/>
          <w:kern w:val="0"/>
          <w:sz w:val="36"/>
          <w:szCs w:val="36"/>
        </w:rPr>
        <w:t>项目名称：</w:t>
      </w:r>
      <w:r>
        <w:rPr>
          <w:rFonts w:hint="eastAsia" w:ascii="仿宋" w:hAnsi="仿宋" w:eastAsia="仿宋" w:cs="仿宋"/>
          <w:kern w:val="0"/>
          <w:sz w:val="36"/>
          <w:szCs w:val="36"/>
          <w:lang w:eastAsia="zh-CN"/>
        </w:rPr>
        <w:t>瓦石峡镇塔什萨依村煤改电建设项目</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rPr>
      </w:pPr>
      <w:r>
        <w:rPr>
          <w:rFonts w:hint="eastAsia" w:ascii="仿宋" w:hAnsi="仿宋" w:eastAsia="仿宋" w:cs="仿宋"/>
          <w:kern w:val="0"/>
          <w:sz w:val="36"/>
          <w:szCs w:val="36"/>
        </w:rPr>
        <w:t>实施单位（公章）：</w:t>
      </w:r>
      <w:r>
        <w:rPr>
          <w:rFonts w:hint="eastAsia" w:ascii="仿宋" w:hAnsi="仿宋" w:eastAsia="仿宋" w:cs="仿宋"/>
          <w:kern w:val="0"/>
          <w:sz w:val="36"/>
          <w:szCs w:val="36"/>
          <w:lang w:eastAsia="zh-CN"/>
        </w:rPr>
        <w:t>瓦石峡镇人民政府</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rPr>
      </w:pPr>
      <w:r>
        <w:rPr>
          <w:rFonts w:hint="eastAsia" w:ascii="仿宋" w:hAnsi="仿宋" w:eastAsia="仿宋" w:cs="仿宋"/>
          <w:kern w:val="0"/>
          <w:sz w:val="36"/>
          <w:szCs w:val="36"/>
        </w:rPr>
        <w:t>主管部门（公章）：</w:t>
      </w:r>
      <w:r>
        <w:rPr>
          <w:rFonts w:hint="eastAsia" w:ascii="仿宋" w:hAnsi="仿宋" w:eastAsia="仿宋" w:cs="仿宋"/>
          <w:sz w:val="32"/>
          <w:szCs w:val="32"/>
          <w:lang w:eastAsia="zh-CN"/>
        </w:rPr>
        <w:t>若羌县扶贫开发领导小组</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lang w:val="en-US" w:eastAsia="zh-CN"/>
        </w:rPr>
      </w:pPr>
      <w:r>
        <w:rPr>
          <w:rFonts w:hint="eastAsia" w:ascii="仿宋" w:hAnsi="仿宋" w:eastAsia="仿宋" w:cs="仿宋"/>
          <w:kern w:val="0"/>
          <w:sz w:val="36"/>
          <w:szCs w:val="36"/>
        </w:rPr>
        <w:t>项目负责人（签章）：</w:t>
      </w:r>
      <w:r>
        <w:rPr>
          <w:rFonts w:hint="eastAsia" w:ascii="仿宋" w:hAnsi="仿宋" w:eastAsia="仿宋" w:cs="仿宋"/>
          <w:kern w:val="0"/>
          <w:sz w:val="36"/>
          <w:szCs w:val="36"/>
          <w:lang w:eastAsia="zh-CN"/>
        </w:rPr>
        <w:t>吾斯曼</w:t>
      </w:r>
      <w:r>
        <w:rPr>
          <w:rFonts w:hint="eastAsia" w:ascii="仿宋" w:hAnsi="仿宋" w:eastAsia="仿宋" w:cs="仿宋"/>
          <w:kern w:val="0"/>
          <w:sz w:val="36"/>
          <w:szCs w:val="36"/>
          <w:lang w:val="en-US" w:eastAsia="zh-CN"/>
        </w:rPr>
        <w:t>·吐尔地</w:t>
      </w:r>
    </w:p>
    <w:p>
      <w:pPr>
        <w:keepNext w:val="0"/>
        <w:keepLines w:val="0"/>
        <w:pageBreakBefore w:val="0"/>
        <w:kinsoku/>
        <w:wordWrap/>
        <w:overflowPunct/>
        <w:topLinePunct w:val="0"/>
        <w:autoSpaceDE/>
        <w:autoSpaceDN/>
        <w:bidi w:val="0"/>
        <w:adjustRightInd/>
        <w:snapToGrid/>
        <w:spacing w:line="560" w:lineRule="exact"/>
        <w:jc w:val="left"/>
        <w:textAlignment w:val="auto"/>
        <w:rPr>
          <w:rStyle w:val="6"/>
          <w:rFonts w:hint="eastAsia" w:ascii="黑体" w:hAnsi="黑体" w:eastAsia="黑体"/>
          <w:b w:val="0"/>
          <w:spacing w:val="-4"/>
          <w:sz w:val="32"/>
          <w:szCs w:val="32"/>
        </w:rPr>
      </w:pPr>
      <w:r>
        <w:rPr>
          <w:rFonts w:hint="eastAsia" w:ascii="仿宋" w:hAnsi="仿宋" w:eastAsia="仿宋" w:cs="仿宋"/>
          <w:kern w:val="0"/>
          <w:sz w:val="36"/>
          <w:szCs w:val="36"/>
        </w:rPr>
        <w:t>填报时间：</w:t>
      </w:r>
      <w:r>
        <w:rPr>
          <w:rFonts w:hint="eastAsia" w:ascii="仿宋" w:hAnsi="仿宋" w:eastAsia="仿宋" w:cs="仿宋"/>
          <w:kern w:val="0"/>
          <w:sz w:val="36"/>
          <w:szCs w:val="36"/>
          <w:lang w:val="en-US" w:eastAsia="zh-CN"/>
        </w:rPr>
        <w:t>2019</w:t>
      </w:r>
      <w:r>
        <w:rPr>
          <w:rFonts w:hint="eastAsia" w:ascii="仿宋" w:hAnsi="仿宋" w:eastAsia="仿宋" w:cs="仿宋"/>
          <w:kern w:val="0"/>
          <w:sz w:val="36"/>
          <w:szCs w:val="36"/>
        </w:rPr>
        <w:t>年</w:t>
      </w:r>
      <w:r>
        <w:rPr>
          <w:rFonts w:hint="eastAsia" w:ascii="仿宋" w:hAnsi="仿宋" w:eastAsia="仿宋" w:cs="仿宋"/>
          <w:kern w:val="0"/>
          <w:sz w:val="36"/>
          <w:szCs w:val="36"/>
          <w:lang w:val="en-US" w:eastAsia="zh-CN"/>
        </w:rPr>
        <w:t>11</w:t>
      </w:r>
      <w:r>
        <w:rPr>
          <w:rFonts w:hint="eastAsia" w:ascii="仿宋" w:hAnsi="仿宋" w:eastAsia="仿宋" w:cs="仿宋"/>
          <w:kern w:val="0"/>
          <w:sz w:val="36"/>
          <w:szCs w:val="36"/>
        </w:rPr>
        <w:t>月</w:t>
      </w:r>
      <w:r>
        <w:rPr>
          <w:rFonts w:hint="eastAsia" w:ascii="仿宋" w:hAnsi="仿宋" w:eastAsia="仿宋" w:cs="仿宋"/>
          <w:kern w:val="0"/>
          <w:sz w:val="36"/>
          <w:szCs w:val="36"/>
          <w:lang w:val="en-US" w:eastAsia="zh-CN"/>
        </w:rPr>
        <w:t>8</w:t>
      </w:r>
      <w:r>
        <w:rPr>
          <w:rFonts w:hint="eastAsia" w:ascii="仿宋" w:hAnsi="仿宋" w:eastAsia="仿宋" w:cs="仿宋"/>
          <w:kern w:val="0"/>
          <w:sz w:val="36"/>
          <w:szCs w:val="36"/>
        </w:rPr>
        <w:t>日</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一、项目概况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（一）项目单位基本情况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宣传执行党的基本路线，认真贯彻落实党的方针、政策和上级党组织的决议、指示。对</w:t>
      </w:r>
      <w:r>
        <w:rPr>
          <w:rFonts w:hint="eastAsia" w:ascii="仿宋" w:hAnsi="仿宋" w:eastAsia="仿宋" w:cs="仿宋"/>
          <w:sz w:val="32"/>
          <w:szCs w:val="32"/>
          <w:lang w:eastAsia="zh-CN"/>
        </w:rPr>
        <w:t>瓦石峡</w:t>
      </w:r>
      <w:r>
        <w:rPr>
          <w:rFonts w:hint="eastAsia" w:ascii="仿宋" w:hAnsi="仿宋" w:eastAsia="仿宋" w:cs="仿宋"/>
          <w:sz w:val="32"/>
          <w:szCs w:val="32"/>
        </w:rPr>
        <w:t>镇的重大问题进行决策；研究制定本辖区经济、文化、社会发展规划和实施办法；依照法律和政策，运用经济法律和行政等各种手段，对全镇社会、经济、文化进行管理、监督和调控；维护社会秩序，不断改善社会、经济环境，为经济建设和人民生活创造良好的条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6"/>
          <w:rFonts w:hint="eastAsia" w:ascii="仿宋" w:hAnsi="仿宋" w:eastAsia="仿宋" w:cs="仿宋"/>
          <w:spacing w:val="-4"/>
          <w:sz w:val="32"/>
          <w:szCs w:val="32"/>
        </w:rPr>
      </w:pPr>
      <w:r>
        <w:rPr>
          <w:rFonts w:hint="eastAsia" w:ascii="仿宋" w:hAnsi="仿宋" w:eastAsia="仿宋" w:cs="仿宋"/>
          <w:sz w:val="32"/>
          <w:szCs w:val="32"/>
        </w:rPr>
        <w:t>领导本辖区的社会主义民主法制建设、社会文明建设、社会治安综合治理和计划生育等工作；负责辖区内社会公益事业的建设，促进科技、文化、教育、环保等各项社会事业的协调发展。负责抓好两个文明建设，搞好党的组织建设，思想建设和作风建设；着重建设好村党支部，做好农村政治思想方面的工作；加强法制建设，改善和加强党的领导。领导共青团和妇联等组织，搞好民族宗教和统一战线工作；团结各组人民，调到各方面的积极性，发展和振兴乡域经济。负责制定辖区社区工作，进一步加强对社区的管理和工作监督，长期坚持落实“四知四清掌握”工作机制，确保持续和谐稳定。负责农牧村工作和村委会建设，稳定和完善家庭联产承包责任制，发展统分结合、双层经营体制；大力发展农业、乡镇企业和第三产业，促进城乡社会、经济的共同发展；支持引导集体和私营经济的发展。负责保护国有资产、集体财产和公民的合法财产，保障企业和农村集体组织的合法权益。按照干部管理权限，负责对干部的教育、培养、选拔、考核和监督工作，抓好干部的培训和管理工作。完成县委、县政府交办的其他事项。</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（二）项目预算绩效目标设定情况</w:t>
      </w:r>
    </w:p>
    <w:p>
      <w:pPr>
        <w:pStyle w:val="7"/>
        <w:keepNext w:val="0"/>
        <w:keepLines w:val="0"/>
        <w:pageBreakBefore w:val="0"/>
        <w:widowControl w:val="0"/>
        <w:kinsoku/>
        <w:wordWrap/>
        <w:overflowPunct/>
        <w:topLinePunct w:val="0"/>
        <w:autoSpaceDE/>
        <w:autoSpaceDN/>
        <w:bidi w:val="0"/>
        <w:adjustRightInd/>
        <w:snapToGrid/>
        <w:spacing w:before="0" w:after="0" w:line="560" w:lineRule="exact"/>
        <w:ind w:left="0" w:leftChars="0" w:right="0" w:rightChars="0" w:firstLine="640" w:firstLineChars="200"/>
        <w:textAlignment w:val="auto"/>
        <w:outlineLvl w:val="9"/>
        <w:rPr>
          <w:rFonts w:hint="eastAsia" w:ascii="方正仿宋_GBK" w:hAnsi="方正仿宋_GBK" w:eastAsia="方正仿宋_GBK" w:cs="方正仿宋_GBK"/>
          <w:color w:val="auto"/>
          <w:sz w:val="32"/>
          <w:szCs w:val="32"/>
          <w:lang w:val="en-US" w:eastAsia="zh-CN" w:bidi="ar-SA"/>
        </w:rPr>
      </w:pPr>
      <w:r>
        <w:rPr>
          <w:rFonts w:hint="eastAsia" w:ascii="仿宋" w:hAnsi="仿宋" w:eastAsia="仿宋" w:cs="仿宋"/>
          <w:sz w:val="32"/>
          <w:szCs w:val="32"/>
        </w:rPr>
        <w:t>1.主要建设内容：项目总投资</w:t>
      </w:r>
      <w:r>
        <w:rPr>
          <w:rFonts w:hint="eastAsia" w:ascii="仿宋" w:hAnsi="仿宋" w:eastAsia="仿宋" w:cs="仿宋"/>
          <w:sz w:val="32"/>
          <w:szCs w:val="32"/>
          <w:lang w:val="en-US" w:eastAsia="zh-CN"/>
        </w:rPr>
        <w:t>56</w:t>
      </w:r>
      <w:r>
        <w:rPr>
          <w:rFonts w:hint="eastAsia" w:ascii="仿宋" w:hAnsi="仿宋" w:eastAsia="仿宋" w:cs="仿宋"/>
          <w:sz w:val="32"/>
          <w:szCs w:val="32"/>
        </w:rPr>
        <w:t>万元，</w:t>
      </w:r>
      <w:r>
        <w:rPr>
          <w:rFonts w:hint="eastAsia" w:ascii="方正仿宋_GBK" w:hAnsi="方正仿宋_GBK" w:eastAsia="方正仿宋_GBK" w:cs="方正仿宋_GBK"/>
          <w:color w:val="auto"/>
          <w:sz w:val="32"/>
          <w:szCs w:val="32"/>
          <w:lang w:val="en-US" w:eastAsia="zh-CN" w:bidi="ar-SA"/>
        </w:rPr>
        <w:t>对56户贫困户住宅实施冬季采暖煤改电项目。项目资金用于购置暖气片、采暖设备、入户线路改造（所有实施内容包含材料和人工费用），每户补助改造改造面积60平方米，预算1万元（超出费用，农户自行承担）</w:t>
      </w:r>
    </w:p>
    <w:p>
      <w:pPr>
        <w:pStyle w:val="7"/>
        <w:keepNext w:val="0"/>
        <w:keepLines w:val="0"/>
        <w:pageBreakBefore w:val="0"/>
        <w:widowControl w:val="0"/>
        <w:kinsoku/>
        <w:wordWrap/>
        <w:overflowPunct/>
        <w:topLinePunct w:val="0"/>
        <w:autoSpaceDE/>
        <w:autoSpaceDN/>
        <w:bidi w:val="0"/>
        <w:adjustRightInd/>
        <w:snapToGrid/>
        <w:spacing w:before="0" w:after="0" w:line="560" w:lineRule="exact"/>
        <w:ind w:left="0" w:leftChars="0" w:right="0" w:rightChars="0" w:firstLine="640" w:firstLineChars="200"/>
        <w:textAlignment w:val="auto"/>
        <w:outlineLvl w:val="9"/>
        <w:rPr>
          <w:rFonts w:hint="eastAsia" w:ascii="方正仿宋_GBK" w:hAnsi="方正仿宋_GBK" w:eastAsia="方正仿宋_GBK" w:cs="方正仿宋_GBK"/>
          <w:color w:val="auto"/>
          <w:sz w:val="32"/>
          <w:szCs w:val="32"/>
          <w:lang w:val="en-US" w:eastAsia="zh-CN" w:bidi="ar-SA"/>
        </w:rPr>
      </w:pPr>
      <w:r>
        <w:rPr>
          <w:rFonts w:hint="eastAsia" w:ascii="仿宋" w:hAnsi="仿宋" w:eastAsia="仿宋" w:cs="仿宋"/>
          <w:sz w:val="32"/>
          <w:szCs w:val="32"/>
        </w:rPr>
        <w:t>2.主要目标任务：</w:t>
      </w:r>
      <w:r>
        <w:rPr>
          <w:rFonts w:hint="eastAsia" w:ascii="方正仿宋_GBK" w:hAnsi="方正仿宋_GBK" w:eastAsia="方正仿宋_GBK" w:cs="方正仿宋_GBK"/>
          <w:color w:val="auto"/>
          <w:sz w:val="32"/>
          <w:szCs w:val="32"/>
          <w:lang w:val="en-US" w:eastAsia="zh-CN" w:bidi="ar-SA"/>
        </w:rPr>
        <w:t>通过煤改电项目，可以节约成本，同时保护环境，为贫困户提供安全保障。</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二、项目资金使用及管理情况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（一）项目资金安排落实、总投入等情况分析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6"/>
          <w:rFonts w:hint="eastAsia" w:ascii="仿宋" w:hAnsi="仿宋" w:eastAsia="仿宋" w:cs="仿宋"/>
          <w:b w:val="0"/>
          <w:spacing w:val="-4"/>
          <w:sz w:val="32"/>
          <w:szCs w:val="32"/>
          <w:lang w:eastAsia="zh-CN"/>
        </w:rPr>
      </w:pPr>
      <w:r>
        <w:rPr>
          <w:rFonts w:hint="eastAsia" w:ascii="仿宋" w:hAnsi="仿宋" w:eastAsia="仿宋" w:cs="仿宋"/>
          <w:sz w:val="32"/>
          <w:szCs w:val="32"/>
        </w:rPr>
        <w:t>该项目总投资</w:t>
      </w:r>
      <w:r>
        <w:rPr>
          <w:rFonts w:hint="eastAsia" w:ascii="仿宋" w:hAnsi="仿宋" w:eastAsia="仿宋" w:cs="仿宋"/>
          <w:sz w:val="32"/>
          <w:szCs w:val="32"/>
          <w:lang w:val="en-US" w:eastAsia="zh-CN"/>
        </w:rPr>
        <w:t>56</w:t>
      </w:r>
      <w:r>
        <w:rPr>
          <w:rFonts w:hint="eastAsia" w:ascii="仿宋" w:hAnsi="仿宋" w:eastAsia="仿宋" w:cs="仿宋"/>
          <w:sz w:val="32"/>
          <w:szCs w:val="32"/>
        </w:rPr>
        <w:t>万元，来源全部为</w:t>
      </w:r>
      <w:r>
        <w:rPr>
          <w:rFonts w:hint="eastAsia" w:ascii="仿宋" w:hAnsi="仿宋" w:eastAsia="仿宋" w:cs="仿宋"/>
          <w:sz w:val="32"/>
          <w:szCs w:val="32"/>
          <w:lang w:eastAsia="zh-CN"/>
        </w:rPr>
        <w:t>2019年中央财政专项扶贫资金</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（二）项目资金实际使用情况分析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严格按照相关财政文件，该拨款全部用于</w:t>
      </w:r>
      <w:r>
        <w:rPr>
          <w:rFonts w:hint="eastAsia" w:ascii="仿宋" w:hAnsi="仿宋" w:eastAsia="仿宋" w:cs="仿宋"/>
          <w:sz w:val="32"/>
          <w:szCs w:val="32"/>
          <w:lang w:eastAsia="zh-CN"/>
        </w:rPr>
        <w:t>瓦石峡镇塔什萨依村煤改电采暖项目。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（三）项目资金管理情况分析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为加强项目资金的使用管理，我镇所有项目资金的使用都严格按照《项目资金管理制度》和《财务管理制度》，在实施项目过程中按实按时支付，使项目资金能最大限度地发挥其作用。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三、项目组织实施情况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（一）项目组织情况分析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该项目于201</w:t>
      </w: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8</w:t>
      </w:r>
      <w:r>
        <w:rPr>
          <w:rFonts w:hint="eastAsia" w:ascii="仿宋" w:hAnsi="仿宋" w:eastAsia="仿宋" w:cs="仿宋"/>
          <w:sz w:val="32"/>
          <w:szCs w:val="32"/>
          <w:lang w:eastAsia="zh-CN"/>
        </w:rPr>
        <w:t>月建设塔什萨依村煤改电采暖项目。</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201</w:t>
      </w:r>
      <w:r>
        <w:rPr>
          <w:rFonts w:hint="eastAsia" w:ascii="仿宋" w:hAnsi="仿宋" w:eastAsia="仿宋" w:cs="仿宋"/>
          <w:color w:val="000000" w:themeColor="text1"/>
          <w:sz w:val="32"/>
          <w:szCs w:val="32"/>
          <w:lang w:val="en-US" w:eastAsia="zh-CN"/>
          <w14:textFill>
            <w14:solidFill>
              <w14:schemeClr w14:val="tx1"/>
            </w14:solidFill>
          </w14:textFill>
        </w:rPr>
        <w:t>9</w:t>
      </w:r>
      <w:r>
        <w:rPr>
          <w:rFonts w:hint="eastAsia" w:ascii="仿宋" w:hAnsi="仿宋" w:eastAsia="仿宋" w:cs="仿宋"/>
          <w:color w:val="000000" w:themeColor="text1"/>
          <w:sz w:val="32"/>
          <w:szCs w:val="32"/>
          <w:lang w:eastAsia="zh-CN"/>
          <w14:textFill>
            <w14:solidFill>
              <w14:schemeClr w14:val="tx1"/>
            </w14:solidFill>
          </w14:textFill>
        </w:rPr>
        <w:t>年</w:t>
      </w:r>
      <w:r>
        <w:rPr>
          <w:rFonts w:hint="eastAsia" w:ascii="仿宋" w:hAnsi="仿宋" w:eastAsia="仿宋" w:cs="仿宋"/>
          <w:color w:val="000000" w:themeColor="text1"/>
          <w:sz w:val="32"/>
          <w:szCs w:val="32"/>
          <w:lang w:val="en-US" w:eastAsia="zh-CN"/>
          <w14:textFill>
            <w14:solidFill>
              <w14:schemeClr w14:val="tx1"/>
            </w14:solidFill>
          </w14:textFill>
        </w:rPr>
        <w:t>10</w:t>
      </w:r>
      <w:r>
        <w:rPr>
          <w:rFonts w:hint="eastAsia" w:ascii="仿宋" w:hAnsi="仿宋" w:eastAsia="仿宋" w:cs="仿宋"/>
          <w:color w:val="000000" w:themeColor="text1"/>
          <w:sz w:val="32"/>
          <w:szCs w:val="32"/>
          <w:lang w:eastAsia="zh-CN"/>
          <w14:textFill>
            <w14:solidFill>
              <w14:schemeClr w14:val="tx1"/>
            </w14:solidFill>
          </w14:textFill>
        </w:rPr>
        <w:t>月</w:t>
      </w:r>
      <w:r>
        <w:rPr>
          <w:rFonts w:hint="eastAsia" w:ascii="仿宋" w:hAnsi="仿宋" w:eastAsia="仿宋" w:cs="仿宋"/>
          <w:color w:val="000000" w:themeColor="text1"/>
          <w:sz w:val="32"/>
          <w:szCs w:val="32"/>
          <w:lang w:val="en-US" w:eastAsia="zh-CN"/>
          <w14:textFill>
            <w14:solidFill>
              <w14:schemeClr w14:val="tx1"/>
            </w14:solidFill>
          </w14:textFill>
        </w:rPr>
        <w:t>18</w:t>
      </w:r>
      <w:r>
        <w:rPr>
          <w:rFonts w:hint="eastAsia" w:ascii="仿宋" w:hAnsi="仿宋" w:eastAsia="仿宋" w:cs="仿宋"/>
          <w:color w:val="000000" w:themeColor="text1"/>
          <w:sz w:val="32"/>
          <w:szCs w:val="32"/>
          <w:lang w:eastAsia="zh-CN"/>
          <w14:textFill>
            <w14:solidFill>
              <w14:schemeClr w14:val="tx1"/>
            </w14:solidFill>
          </w14:textFill>
        </w:rPr>
        <w:t>日，由若羌县扶贫开发领导小组牵头组织住房和城乡建设局等部门组成验收组对该项目进行验收。验收组一行通过查阅资料档案、实地查看工程建设情况一致同意该项目等级为合格，通过验收。</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（二）项目管理情况分析</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lang w:val="en-US" w:eastAsia="zh-CN"/>
        </w:rPr>
        <w:t>1、</w:t>
      </w:r>
      <w:r>
        <w:rPr>
          <w:rFonts w:hint="eastAsia" w:ascii="仿宋" w:hAnsi="仿宋" w:eastAsia="仿宋" w:cs="仿宋"/>
          <w:b/>
          <w:color w:val="auto"/>
          <w:kern w:val="0"/>
          <w:sz w:val="32"/>
        </w:rPr>
        <w:t>严格执行公告公示制度。</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严格推行项目资金公示公告制，实行事前公示、事后公告的制度。遵循公开、公正的原则对项目计划安排、项目建设内容和项目资金投入使用等方面的不同阶段，采取公示公告方式，接受群众和社会监督。</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rPr>
        <w:t>严格执行县级报账制度。</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left="560" w:leftChars="0" w:right="0" w:rightChars="0"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严格按照县财政局下发的“扶贫专项资金拨付应提供的资料和资金拨付流程”的规定，认真执行县级保障提款，集中支付等有关规定，专门成立项目专账会计，切实加强项目的资金管理，实行专款专用。</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rPr>
        <w:t>建立目标责任制和责任追究制。</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left="560" w:leftChars="0" w:right="0" w:rightChars="0"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成立由</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党委书记</w:t>
      </w:r>
      <w:r>
        <w:rPr>
          <w:rFonts w:hint="eastAsia" w:ascii="仿宋" w:hAnsi="仿宋" w:eastAsia="仿宋" w:cs="仿宋"/>
          <w:color w:val="auto"/>
          <w:kern w:val="0"/>
          <w:sz w:val="32"/>
          <w:lang w:eastAsia="zh-CN"/>
        </w:rPr>
        <w:t>、</w:t>
      </w:r>
      <w:r>
        <w:rPr>
          <w:rFonts w:hint="eastAsia" w:ascii="仿宋" w:hAnsi="仿宋" w:eastAsia="仿宋" w:cs="仿宋"/>
          <w:color w:val="auto"/>
          <w:kern w:val="0"/>
          <w:sz w:val="32"/>
        </w:rPr>
        <w:t>党委副书记、</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长任组长，</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纪委书记、村委会书记</w:t>
      </w:r>
      <w:r>
        <w:rPr>
          <w:rFonts w:hint="eastAsia" w:ascii="仿宋" w:hAnsi="仿宋" w:eastAsia="仿宋" w:cs="仿宋"/>
          <w:color w:val="auto"/>
          <w:kern w:val="0"/>
          <w:sz w:val="32"/>
          <w:lang w:eastAsia="zh-CN"/>
        </w:rPr>
        <w:t>和</w:t>
      </w:r>
      <w:r>
        <w:rPr>
          <w:rFonts w:hint="eastAsia" w:ascii="仿宋" w:hAnsi="仿宋" w:eastAsia="仿宋" w:cs="仿宋"/>
          <w:color w:val="auto"/>
          <w:kern w:val="0"/>
          <w:sz w:val="32"/>
        </w:rPr>
        <w:t>主任、驻村工作队队长、</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财政负责人为成员的项目实施领导小组。</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rPr>
      </w:pPr>
      <w:r>
        <w:rPr>
          <w:rStyle w:val="6"/>
          <w:rFonts w:hint="eastAsia" w:ascii="仿宋" w:hAnsi="仿宋" w:eastAsia="仿宋" w:cs="仿宋"/>
          <w:b w:val="0"/>
          <w:spacing w:val="-4"/>
          <w:sz w:val="32"/>
          <w:szCs w:val="32"/>
        </w:rPr>
        <w:t>四、项目绩效情况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（一）项目绩效目标完成情况分析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该项目</w:t>
      </w:r>
      <w:r>
        <w:rPr>
          <w:rFonts w:hint="eastAsia" w:ascii="仿宋" w:hAnsi="仿宋" w:eastAsia="仿宋" w:cs="仿宋"/>
          <w:color w:val="auto"/>
          <w:kern w:val="0"/>
          <w:sz w:val="32"/>
          <w:lang w:eastAsia="zh-CN"/>
        </w:rPr>
        <w:t>建设</w:t>
      </w:r>
      <w:r>
        <w:rPr>
          <w:rFonts w:hint="eastAsia" w:ascii="仿宋" w:hAnsi="仿宋" w:eastAsia="仿宋" w:cs="仿宋"/>
          <w:color w:val="auto"/>
          <w:kern w:val="0"/>
          <w:sz w:val="32"/>
        </w:rPr>
        <w:t>后，一切正常，达到了预期的效果。</w:t>
      </w:r>
    </w:p>
    <w:p>
      <w:pPr>
        <w:keepNext w:val="0"/>
        <w:keepLines w:val="0"/>
        <w:pageBreakBefore w:val="0"/>
        <w:numPr>
          <w:ilvl w:val="0"/>
          <w:numId w:val="0"/>
        </w:numPr>
        <w:kinsoku/>
        <w:wordWrap/>
        <w:overflowPunct/>
        <w:topLinePunct w:val="0"/>
        <w:autoSpaceDE/>
        <w:autoSpaceDN/>
        <w:bidi w:val="0"/>
        <w:adjustRightInd/>
        <w:snapToGrid/>
        <w:spacing w:before="0" w:after="0" w:line="560" w:lineRule="exact"/>
        <w:ind w:right="0" w:rightChars="0" w:firstLine="624" w:firstLineChars="200"/>
        <w:textAlignment w:val="auto"/>
        <w:outlineLvl w:val="9"/>
        <w:rPr>
          <w:rFonts w:hint="eastAsia" w:ascii="仿宋" w:hAnsi="仿宋" w:eastAsia="仿宋" w:cs="仿宋"/>
          <w:color w:val="000000" w:themeColor="text1"/>
          <w:sz w:val="32"/>
          <w:lang w:val="en-US" w:eastAsia="zh-CN"/>
          <w14:textFill>
            <w14:solidFill>
              <w14:schemeClr w14:val="tx1"/>
            </w14:solidFill>
          </w14:textFill>
        </w:rPr>
      </w:pPr>
      <w:r>
        <w:rPr>
          <w:rStyle w:val="6"/>
          <w:rFonts w:hint="eastAsia" w:ascii="仿宋" w:hAnsi="仿宋" w:eastAsia="仿宋" w:cs="仿宋"/>
          <w:b w:val="0"/>
          <w:color w:val="000000" w:themeColor="text1"/>
          <w:spacing w:val="-4"/>
          <w:sz w:val="32"/>
          <w:szCs w:val="32"/>
          <w14:textFill>
            <w14:solidFill>
              <w14:schemeClr w14:val="tx1"/>
            </w14:solidFill>
          </w14:textFill>
        </w:rPr>
        <w:t>2019年</w:t>
      </w:r>
      <w:r>
        <w:rPr>
          <w:rStyle w:val="6"/>
          <w:rFonts w:hint="eastAsia" w:ascii="仿宋" w:hAnsi="仿宋" w:eastAsia="仿宋" w:cs="仿宋"/>
          <w:b w:val="0"/>
          <w:color w:val="000000" w:themeColor="text1"/>
          <w:spacing w:val="-4"/>
          <w:sz w:val="32"/>
          <w:szCs w:val="32"/>
          <w:lang w:val="en-US" w:eastAsia="zh-CN"/>
          <w14:textFill>
            <w14:solidFill>
              <w14:schemeClr w14:val="tx1"/>
            </w14:solidFill>
          </w14:textFill>
        </w:rPr>
        <w:t>10</w:t>
      </w:r>
      <w:r>
        <w:rPr>
          <w:rStyle w:val="6"/>
          <w:rFonts w:hint="eastAsia" w:ascii="仿宋" w:hAnsi="仿宋" w:eastAsia="仿宋" w:cs="仿宋"/>
          <w:b w:val="0"/>
          <w:color w:val="000000" w:themeColor="text1"/>
          <w:spacing w:val="-4"/>
          <w:sz w:val="32"/>
          <w:szCs w:val="32"/>
          <w14:textFill>
            <w14:solidFill>
              <w14:schemeClr w14:val="tx1"/>
            </w14:solidFill>
          </w14:textFill>
        </w:rPr>
        <w:t>月</w:t>
      </w:r>
      <w:r>
        <w:rPr>
          <w:rStyle w:val="6"/>
          <w:rFonts w:hint="eastAsia" w:ascii="仿宋" w:hAnsi="仿宋" w:eastAsia="仿宋" w:cs="仿宋"/>
          <w:b w:val="0"/>
          <w:color w:val="000000" w:themeColor="text1"/>
          <w:spacing w:val="-4"/>
          <w:sz w:val="32"/>
          <w:szCs w:val="32"/>
          <w:lang w:val="en-US" w:eastAsia="zh-CN"/>
          <w14:textFill>
            <w14:solidFill>
              <w14:schemeClr w14:val="tx1"/>
            </w14:solidFill>
          </w14:textFill>
        </w:rPr>
        <w:t>18</w:t>
      </w:r>
      <w:r>
        <w:rPr>
          <w:rStyle w:val="6"/>
          <w:rFonts w:hint="eastAsia" w:ascii="仿宋" w:hAnsi="仿宋" w:eastAsia="仿宋" w:cs="仿宋"/>
          <w:b w:val="0"/>
          <w:color w:val="000000" w:themeColor="text1"/>
          <w:spacing w:val="-4"/>
          <w:sz w:val="32"/>
          <w:szCs w:val="32"/>
          <w14:textFill>
            <w14:solidFill>
              <w14:schemeClr w14:val="tx1"/>
            </w14:solidFill>
          </w14:textFill>
        </w:rPr>
        <w:t>日前已</w:t>
      </w:r>
      <w:r>
        <w:rPr>
          <w:rStyle w:val="6"/>
          <w:rFonts w:hint="eastAsia" w:ascii="仿宋" w:hAnsi="仿宋" w:eastAsia="仿宋" w:cs="仿宋"/>
          <w:b w:val="0"/>
          <w:color w:val="000000" w:themeColor="text1"/>
          <w:spacing w:val="-4"/>
          <w:sz w:val="32"/>
          <w:szCs w:val="32"/>
          <w:lang w:eastAsia="zh-CN"/>
          <w14:textFill>
            <w14:solidFill>
              <w14:schemeClr w14:val="tx1"/>
            </w14:solidFill>
          </w14:textFill>
        </w:rPr>
        <w:t>按照项目计划完成，</w:t>
      </w:r>
      <w:r>
        <w:rPr>
          <w:rFonts w:hint="eastAsia" w:ascii="仿宋" w:hAnsi="仿宋" w:eastAsia="仿宋" w:cs="仿宋"/>
          <w:color w:val="000000" w:themeColor="text1"/>
          <w:kern w:val="2"/>
          <w:sz w:val="32"/>
          <w:szCs w:val="24"/>
          <w:lang w:val="en-US" w:eastAsia="zh-CN" w:bidi="ar-SA"/>
          <w14:textFill>
            <w14:solidFill>
              <w14:schemeClr w14:val="tx1"/>
            </w14:solidFill>
          </w14:textFill>
        </w:rPr>
        <w:t>该项目建成后</w:t>
      </w:r>
      <w:r>
        <w:rPr>
          <w:rFonts w:hint="eastAsia" w:ascii="方正仿宋_GBK" w:hAnsi="方正仿宋_GBK" w:eastAsia="方正仿宋_GBK" w:cs="方正仿宋_GBK"/>
          <w:color w:val="000000" w:themeColor="text1"/>
          <w:sz w:val="32"/>
          <w:lang w:val="en-US" w:eastAsia="zh-CN"/>
          <w14:textFill>
            <w14:solidFill>
              <w14:schemeClr w14:val="tx1"/>
            </w14:solidFill>
          </w14:textFill>
        </w:rPr>
        <w:t>，</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可长期使用，可达到节约贫困户冬季取暖费用，进一步改善贫困户生产生活条件。同时，可调动农牧民生产积极性，项目实施后，能够推动新建村贫困户生活条件，通过实施电暖设备项目，可减少贫困户冬季取暖费用，让贫困户享受美丽生活条件。</w:t>
      </w:r>
      <w:r>
        <w:rPr>
          <w:rFonts w:hint="eastAsia" w:ascii="仿宋" w:hAnsi="仿宋" w:eastAsia="仿宋" w:cs="仿宋"/>
          <w:color w:val="000000" w:themeColor="text1"/>
          <w:sz w:val="32"/>
          <w:lang w:val="en-US" w:eastAsia="zh-CN"/>
          <w14:textFill>
            <w14:solidFill>
              <w14:schemeClr w14:val="tx1"/>
            </w14:solidFill>
          </w14:textFill>
        </w:rPr>
        <w:t>资金已于拨付完毕。</w:t>
      </w:r>
    </w:p>
    <w:p>
      <w:pPr>
        <w:keepNext w:val="0"/>
        <w:keepLines w:val="0"/>
        <w:pageBreakBefore w:val="0"/>
        <w:numPr>
          <w:ilvl w:val="0"/>
          <w:numId w:val="2"/>
        </w:numPr>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项目绩效目标未完成原因分析</w:t>
      </w:r>
    </w:p>
    <w:p>
      <w:pPr>
        <w:keepNext w:val="0"/>
        <w:keepLines w:val="0"/>
        <w:pageBreakBefore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6"/>
          <w:szCs w:val="40"/>
        </w:rPr>
      </w:pPr>
      <w:r>
        <w:rPr>
          <w:rFonts w:hint="eastAsia" w:ascii="仿宋" w:hAnsi="仿宋" w:eastAsia="仿宋" w:cs="仿宋"/>
          <w:sz w:val="32"/>
          <w:lang w:val="en-US" w:eastAsia="zh-CN"/>
        </w:rPr>
        <w:t>该项目已完工并投入运行，绩效目标均已完成。</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五、其他需要说明的问题</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（一）后续工作计划</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Fonts w:hint="eastAsia" w:ascii="仿宋" w:hAnsi="仿宋" w:eastAsia="仿宋" w:cs="仿宋"/>
          <w:b/>
          <w:spacing w:val="-4"/>
          <w:sz w:val="32"/>
          <w:szCs w:val="32"/>
        </w:rPr>
      </w:pPr>
      <w:r>
        <w:rPr>
          <w:rStyle w:val="6"/>
          <w:rFonts w:hint="eastAsia" w:ascii="仿宋" w:hAnsi="仿宋" w:eastAsia="仿宋" w:cs="仿宋"/>
          <w:b w:val="0"/>
          <w:spacing w:val="-4"/>
          <w:sz w:val="32"/>
          <w:szCs w:val="32"/>
          <w:lang w:eastAsia="zh-CN"/>
        </w:rPr>
        <w:t>进一步加强项目后期监管工作，建立监管台账，定期走访查看贫困户使用情况。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（二）主要经验及做法、存在问题和建议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b/>
          <w:bCs w:val="0"/>
          <w:spacing w:val="-4"/>
          <w:sz w:val="32"/>
          <w:szCs w:val="32"/>
          <w:lang w:eastAsia="zh-CN"/>
        </w:rPr>
      </w:pPr>
      <w:r>
        <w:rPr>
          <w:rStyle w:val="6"/>
          <w:rFonts w:hint="eastAsia" w:ascii="仿宋" w:hAnsi="仿宋" w:eastAsia="仿宋" w:cs="仿宋"/>
          <w:b/>
          <w:bCs w:val="0"/>
          <w:spacing w:val="-4"/>
          <w:sz w:val="32"/>
          <w:szCs w:val="32"/>
          <w:lang w:eastAsia="zh-CN"/>
        </w:rPr>
        <w:t>1.主要经验及做法</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一是上级主管部门领导高度重视，经常到施工工地进行检查指导，协调解决工程建设中存在的各项问题，为工程顺利建设提供保障。</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二是各参建单位通力协作，施工单位发现问题，及时</w:t>
      </w:r>
      <w:r>
        <w:rPr>
          <w:rFonts w:hint="eastAsia" w:ascii="仿宋" w:hAnsi="仿宋" w:eastAsia="仿宋" w:cs="仿宋"/>
          <w:sz w:val="36"/>
          <w:szCs w:val="40"/>
        </w:rPr>
        <w:t>上报监</w:t>
      </w:r>
      <w:r>
        <w:rPr>
          <w:rStyle w:val="6"/>
          <w:rFonts w:hint="eastAsia" w:ascii="仿宋" w:hAnsi="仿宋" w:eastAsia="仿宋" w:cs="仿宋"/>
          <w:b w:val="0"/>
          <w:spacing w:val="-4"/>
          <w:sz w:val="32"/>
          <w:szCs w:val="32"/>
          <w:lang w:eastAsia="zh-CN"/>
        </w:rPr>
        <w:t>理部门和业主代表，有项目法人和监理组织有关参建单位技术人员共同研究讨论切实可行的解决方案。</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三是严格工程基本建设程序，实行项目法人制、招投标制、建设监理制，确保工程建设严格按照各项工程制度有序进行。</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四是严格控制工程建设质量，建立健全工程质量检查体系。工程质量控制由施工单位自检、监理单位复检、质量监督单位抽检以及设计单位、建设部门层层把关，确保工程质量达到设计标</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bCs w:val="0"/>
          <w:sz w:val="36"/>
          <w:szCs w:val="40"/>
        </w:rPr>
      </w:pPr>
      <w:r>
        <w:rPr>
          <w:rStyle w:val="6"/>
          <w:rFonts w:hint="eastAsia" w:ascii="仿宋" w:hAnsi="仿宋" w:eastAsia="仿宋" w:cs="仿宋"/>
          <w:b/>
          <w:bCs w:val="0"/>
          <w:spacing w:val="-4"/>
          <w:sz w:val="32"/>
          <w:szCs w:val="32"/>
          <w:lang w:eastAsia="zh-CN"/>
        </w:rPr>
        <w:t>（建议）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根据工程的施工、试运行，总结的经验有以下几点建议：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b/>
          <w:bCs w:val="0"/>
          <w:spacing w:val="-4"/>
          <w:sz w:val="32"/>
          <w:szCs w:val="32"/>
          <w:lang w:eastAsia="zh-CN"/>
        </w:rPr>
      </w:pPr>
      <w:r>
        <w:rPr>
          <w:rStyle w:val="6"/>
          <w:rFonts w:hint="eastAsia" w:ascii="仿宋" w:hAnsi="仿宋" w:eastAsia="仿宋" w:cs="仿宋"/>
          <w:b/>
          <w:bCs w:val="0"/>
          <w:spacing w:val="-4"/>
          <w:sz w:val="32"/>
          <w:szCs w:val="32"/>
          <w:lang w:val="en-US" w:eastAsia="zh-CN"/>
        </w:rPr>
        <w:t>1、</w:t>
      </w:r>
      <w:r>
        <w:rPr>
          <w:rStyle w:val="6"/>
          <w:rFonts w:hint="eastAsia" w:ascii="仿宋" w:hAnsi="仿宋" w:eastAsia="仿宋" w:cs="仿宋"/>
          <w:b/>
          <w:bCs w:val="0"/>
          <w:spacing w:val="-4"/>
          <w:sz w:val="32"/>
          <w:szCs w:val="32"/>
          <w:lang w:eastAsia="zh-CN"/>
        </w:rPr>
        <w:t>对运行管理单位的建议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bCs w:val="0"/>
          <w:spacing w:val="-4"/>
          <w:sz w:val="32"/>
          <w:szCs w:val="32"/>
          <w:lang w:val="en-US" w:eastAsia="zh-CN"/>
        </w:rPr>
      </w:pPr>
      <w:r>
        <w:rPr>
          <w:rStyle w:val="6"/>
          <w:rFonts w:hint="eastAsia" w:ascii="仿宋" w:hAnsi="仿宋" w:eastAsia="仿宋" w:cs="仿宋"/>
          <w:b w:val="0"/>
          <w:spacing w:val="-4"/>
          <w:sz w:val="32"/>
          <w:szCs w:val="32"/>
          <w:lang w:eastAsia="zh-CN"/>
        </w:rPr>
        <w:t>运行管理单位应按照工程运行中的重要内容环节如：加强提高工程管理水平、保证安全运行，充分发挥工程效益。</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b/>
          <w:bCs w:val="0"/>
          <w:spacing w:val="-4"/>
          <w:sz w:val="32"/>
          <w:szCs w:val="32"/>
          <w:lang w:eastAsia="zh-CN"/>
        </w:rPr>
      </w:pPr>
      <w:r>
        <w:rPr>
          <w:rStyle w:val="6"/>
          <w:rFonts w:hint="eastAsia" w:ascii="仿宋" w:hAnsi="仿宋" w:eastAsia="仿宋" w:cs="仿宋"/>
          <w:b/>
          <w:bCs w:val="0"/>
          <w:spacing w:val="-4"/>
          <w:sz w:val="32"/>
          <w:szCs w:val="32"/>
          <w:lang w:val="en-US" w:eastAsia="zh-CN"/>
        </w:rPr>
        <w:t>2、</w:t>
      </w:r>
      <w:r>
        <w:rPr>
          <w:rStyle w:val="6"/>
          <w:rFonts w:hint="eastAsia" w:ascii="仿宋" w:hAnsi="仿宋" w:eastAsia="仿宋" w:cs="仿宋"/>
          <w:b/>
          <w:bCs w:val="0"/>
          <w:spacing w:val="-4"/>
          <w:sz w:val="32"/>
          <w:szCs w:val="32"/>
          <w:lang w:eastAsia="zh-CN"/>
        </w:rPr>
        <w:t>对项目法人的建</w:t>
      </w:r>
      <w:r>
        <w:rPr>
          <w:rStyle w:val="6"/>
          <w:rFonts w:hint="eastAsia" w:ascii="仿宋" w:hAnsi="仿宋" w:eastAsia="仿宋" w:cs="仿宋"/>
          <w:b/>
          <w:bCs w:val="0"/>
          <w:spacing w:val="-4"/>
          <w:sz w:val="32"/>
          <w:szCs w:val="32"/>
          <w:lang w:val="en-US" w:eastAsia="zh-CN"/>
        </w:rPr>
        <w:t>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本项目法人为瓦石峡镇人民政府，负责项目的施工管理、竣工验收等工作。竣工验收后项目法人应当及时向运行管理单位移交工程，确保工程管理运行正常。</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（三）其他</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val="en-US" w:eastAsia="zh-CN"/>
        </w:rPr>
      </w:pPr>
      <w:r>
        <w:rPr>
          <w:rStyle w:val="6"/>
          <w:rFonts w:hint="eastAsia" w:ascii="仿宋" w:hAnsi="仿宋" w:eastAsia="仿宋" w:cs="仿宋"/>
          <w:b w:val="0"/>
          <w:spacing w:val="-4"/>
          <w:sz w:val="32"/>
          <w:szCs w:val="32"/>
          <w:lang w:eastAsia="zh-CN"/>
        </w:rPr>
        <w:t>无。</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六、项目评价工作情况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lang w:eastAsia="zh-CN"/>
        </w:rPr>
      </w:pPr>
      <w:r>
        <w:rPr>
          <w:rFonts w:hint="eastAsia" w:ascii="仿宋" w:hAnsi="仿宋" w:eastAsia="仿宋" w:cs="仿宋"/>
          <w:sz w:val="32"/>
          <w:lang w:eastAsia="zh-CN"/>
        </w:rPr>
        <w:t>根据设计图纸，结合工程实际情况，由项目主管部门等单位组成工程验收组，对该工程进行了竣工验收。施工档案资料齐全、工程质量满足要求，一致同意工程质量等级为合格。</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七、附表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w:t>
      </w:r>
      <w:r>
        <w:rPr>
          <w:rStyle w:val="6"/>
          <w:rFonts w:hint="eastAsia" w:ascii="仿宋" w:hAnsi="仿宋" w:eastAsia="仿宋" w:cs="仿宋"/>
          <w:b w:val="0"/>
          <w:spacing w:val="-4"/>
          <w:sz w:val="32"/>
          <w:szCs w:val="32"/>
          <w:lang w:eastAsia="zh-CN"/>
        </w:rPr>
        <w:t>若羌县瓦石峡镇</w:t>
      </w:r>
      <w:r>
        <w:rPr>
          <w:rStyle w:val="6"/>
          <w:rFonts w:hint="eastAsia" w:ascii="仿宋" w:hAnsi="仿宋" w:eastAsia="仿宋" w:cs="仿宋"/>
          <w:b w:val="0"/>
          <w:spacing w:val="-4"/>
          <w:sz w:val="32"/>
          <w:szCs w:val="32"/>
        </w:rPr>
        <w:t>财政项目支出绩效自评表》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textAlignment w:val="auto"/>
        <w:rPr>
          <w:rStyle w:val="6"/>
          <w:rFonts w:hint="eastAsia" w:ascii="仿宋" w:hAnsi="仿宋" w:eastAsia="仿宋" w:cs="仿宋"/>
          <w:b w:val="0"/>
          <w:spacing w:val="-4"/>
          <w:sz w:val="32"/>
          <w:szCs w:val="32"/>
        </w:rPr>
      </w:pPr>
    </w:p>
    <w:tbl>
      <w:tblPr>
        <w:tblStyle w:val="4"/>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624" w:firstLineChars="200"/>
              <w:jc w:val="center"/>
              <w:textAlignment w:val="auto"/>
              <w:rPr>
                <w:rFonts w:ascii="宋体" w:hAnsi="宋体" w:cs="宋体"/>
                <w:b/>
                <w:bCs/>
                <w:kern w:val="0"/>
                <w:sz w:val="32"/>
                <w:szCs w:val="32"/>
              </w:rPr>
            </w:pPr>
            <w:r>
              <w:rPr>
                <w:rStyle w:val="6"/>
                <w:rFonts w:hint="eastAsia" w:ascii="仿宋" w:hAnsi="仿宋" w:eastAsia="仿宋"/>
                <w:b w:val="0"/>
                <w:spacing w:val="-4"/>
                <w:sz w:val="32"/>
                <w:szCs w:val="32"/>
                <w:lang w:eastAsia="zh-CN"/>
              </w:rPr>
              <w:t>若羌县瓦石峡镇</w:t>
            </w:r>
            <w:r>
              <w:rPr>
                <w:rStyle w:val="6"/>
                <w:rFonts w:hint="eastAsia" w:ascii="仿宋" w:hAnsi="仿宋" w:eastAsia="仿宋"/>
                <w:b w:val="0"/>
                <w:spacing w:val="-4"/>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2019</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14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36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0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8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206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7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瓦石峡镇</w:t>
            </w:r>
            <w:r>
              <w:rPr>
                <w:rFonts w:hint="eastAsia" w:ascii="宋体" w:hAnsi="宋体" w:cs="宋体"/>
                <w:kern w:val="0"/>
                <w:sz w:val="20"/>
                <w:szCs w:val="20"/>
                <w:lang w:eastAsia="zh-CN"/>
              </w:rPr>
              <w:t>塔什萨依村煤改电采暖</w:t>
            </w:r>
            <w:r>
              <w:rPr>
                <w:rFonts w:hint="eastAsia" w:ascii="宋体" w:hAnsi="宋体" w:cs="宋体"/>
                <w:kern w:val="0"/>
                <w:sz w:val="20"/>
                <w:szCs w:val="20"/>
              </w:rPr>
              <w:t>项目</w:t>
            </w:r>
          </w:p>
        </w:tc>
      </w:tr>
      <w:tr>
        <w:tblPrEx>
          <w:tblLayout w:type="fixed"/>
          <w:tblCellMar>
            <w:top w:w="0" w:type="dxa"/>
            <w:left w:w="108" w:type="dxa"/>
            <w:bottom w:w="0" w:type="dxa"/>
            <w:right w:w="108" w:type="dxa"/>
          </w:tblCellMar>
        </w:tblPrEx>
        <w:trPr>
          <w:trHeight w:val="9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若羌县瓦石峡镇人民政府</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eastAsia="宋体" w:cs="宋体"/>
                <w:kern w:val="0"/>
                <w:sz w:val="20"/>
                <w:szCs w:val="20"/>
                <w:lang w:val="en-US" w:eastAsia="zh-CN"/>
              </w:rPr>
            </w:pPr>
            <w:r>
              <w:rPr>
                <w:rFonts w:hint="eastAsia" w:ascii="宋体" w:hAnsi="宋体" w:cs="宋体"/>
                <w:kern w:val="0"/>
                <w:sz w:val="20"/>
                <w:szCs w:val="20"/>
              </w:rPr>
              <w:t>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56</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执行数：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56</w:t>
            </w:r>
          </w:p>
        </w:tc>
      </w:tr>
      <w:tr>
        <w:tblPrEx>
          <w:tblLayout w:type="fixed"/>
          <w:tblCellMar>
            <w:top w:w="0" w:type="dxa"/>
            <w:left w:w="108" w:type="dxa"/>
            <w:bottom w:w="0" w:type="dxa"/>
            <w:right w:w="108" w:type="dxa"/>
          </w:tblCellMar>
        </w:tblPrEx>
        <w:trPr>
          <w:trHeight w:val="437"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56</w:t>
            </w:r>
          </w:p>
        </w:tc>
        <w:tc>
          <w:tcPr>
            <w:tcW w:w="2060" w:type="dxa"/>
            <w:tcBorders>
              <w:top w:val="nil"/>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56</w:t>
            </w:r>
          </w:p>
        </w:tc>
      </w:tr>
      <w:tr>
        <w:tblPrEx>
          <w:tblLayout w:type="fixed"/>
          <w:tblCellMar>
            <w:top w:w="0" w:type="dxa"/>
            <w:left w:w="108" w:type="dxa"/>
            <w:bottom w:w="0" w:type="dxa"/>
            <w:right w:w="108" w:type="dxa"/>
          </w:tblCellMar>
        </w:tblPrEx>
        <w:trPr>
          <w:trHeight w:val="1084"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060" w:type="dxa"/>
            <w:tcBorders>
              <w:top w:val="single" w:color="auto" w:sz="4" w:space="0"/>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811"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eastAsiaTheme="minorEastAsia"/>
                <w:kern w:val="0"/>
                <w:sz w:val="20"/>
                <w:szCs w:val="20"/>
                <w:lang w:val="en-US" w:eastAsia="zh-CN"/>
              </w:rPr>
              <w:t>按照政府债券资金管理要求规范管理使用，于发行之日起3个月内将56万元资金使用完毕。</w:t>
            </w:r>
          </w:p>
        </w:tc>
        <w:tc>
          <w:tcPr>
            <w:tcW w:w="3840" w:type="dxa"/>
            <w:gridSpan w:val="2"/>
            <w:tcBorders>
              <w:top w:val="single" w:color="auto" w:sz="4" w:space="0"/>
              <w:left w:val="nil"/>
              <w:bottom w:val="single" w:color="auto"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eastAsiaTheme="minorEastAsia"/>
                <w:kern w:val="0"/>
                <w:sz w:val="20"/>
                <w:szCs w:val="20"/>
              </w:rPr>
              <w:t>2019年</w:t>
            </w:r>
            <w:r>
              <w:rPr>
                <w:rFonts w:hint="eastAsia" w:ascii="宋体" w:hAnsi="宋体" w:cs="宋体" w:eastAsiaTheme="minorEastAsia"/>
                <w:kern w:val="0"/>
                <w:sz w:val="20"/>
                <w:szCs w:val="20"/>
                <w:lang w:val="en-US" w:eastAsia="zh-CN"/>
              </w:rPr>
              <w:t>11</w:t>
            </w:r>
            <w:r>
              <w:rPr>
                <w:rFonts w:hint="eastAsia" w:ascii="宋体" w:hAnsi="宋体" w:cs="宋体" w:eastAsiaTheme="minorEastAsia"/>
                <w:kern w:val="0"/>
                <w:sz w:val="20"/>
                <w:szCs w:val="20"/>
              </w:rPr>
              <w:t>月</w:t>
            </w:r>
            <w:r>
              <w:rPr>
                <w:rFonts w:hint="eastAsia" w:ascii="宋体" w:hAnsi="宋体" w:cs="宋体" w:eastAsiaTheme="minorEastAsia"/>
                <w:kern w:val="0"/>
                <w:sz w:val="20"/>
                <w:szCs w:val="20"/>
                <w:lang w:val="en-US" w:eastAsia="zh-CN"/>
              </w:rPr>
              <w:t>8</w:t>
            </w:r>
            <w:r>
              <w:rPr>
                <w:rFonts w:hint="eastAsia" w:ascii="宋体" w:hAnsi="宋体" w:cs="宋体" w:eastAsiaTheme="minorEastAsia"/>
                <w:kern w:val="0"/>
                <w:sz w:val="20"/>
                <w:szCs w:val="20"/>
              </w:rPr>
              <w:t>日前已将</w:t>
            </w:r>
            <w:r>
              <w:rPr>
                <w:rFonts w:hint="eastAsia" w:ascii="宋体" w:hAnsi="宋体" w:cs="宋体"/>
                <w:kern w:val="0"/>
                <w:sz w:val="20"/>
                <w:szCs w:val="20"/>
                <w:lang w:val="en-US" w:eastAsia="zh-CN"/>
              </w:rPr>
              <w:t>56</w:t>
            </w:r>
            <w:r>
              <w:rPr>
                <w:rFonts w:hint="eastAsia" w:ascii="宋体" w:hAnsi="宋体" w:cs="宋体" w:eastAsiaTheme="minorEastAsia"/>
                <w:kern w:val="0"/>
                <w:sz w:val="20"/>
                <w:szCs w:val="20"/>
              </w:rPr>
              <w:t>万元资金使用完毕</w:t>
            </w:r>
          </w:p>
        </w:tc>
      </w:tr>
      <w:tr>
        <w:tblPrEx>
          <w:tblLayout w:type="fixed"/>
          <w:tblCellMar>
            <w:top w:w="0" w:type="dxa"/>
            <w:left w:w="108" w:type="dxa"/>
            <w:bottom w:w="0" w:type="dxa"/>
            <w:right w:w="108" w:type="dxa"/>
          </w:tblCellMar>
        </w:tblPrEx>
        <w:trPr>
          <w:trHeight w:val="823"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w:t>
            </w:r>
            <w:bookmarkStart w:id="0" w:name="_GoBack"/>
            <w:bookmarkEnd w:id="0"/>
            <w:r>
              <w:rPr>
                <w:rFonts w:hint="eastAsia" w:ascii="宋体" w:hAnsi="宋体" w:cs="宋体"/>
                <w:kern w:val="0"/>
                <w:sz w:val="20"/>
                <w:szCs w:val="20"/>
              </w:rPr>
              <w:t>完成指标</w:t>
            </w:r>
          </w:p>
        </w:tc>
        <w:tc>
          <w:tcPr>
            <w:tcW w:w="1360" w:type="dxa"/>
            <w:vMerge w:val="restart"/>
            <w:tcBorders>
              <w:top w:val="nil"/>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液压专用电采暖炉</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1台</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储液设备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rPr>
            </w:pPr>
            <w:r>
              <w:rPr>
                <w:rFonts w:hint="eastAsia" w:ascii="宋体" w:hAnsi="宋体" w:eastAsia="宋体" w:cs="宋体"/>
                <w:i w:val="0"/>
                <w:color w:val="000000"/>
                <w:kern w:val="0"/>
                <w:sz w:val="20"/>
                <w:szCs w:val="20"/>
                <w:u w:val="none"/>
                <w:lang w:val="en-US" w:eastAsia="zh-CN" w:bidi="ar"/>
              </w:rPr>
              <w:t>1台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rPr>
            </w:pPr>
            <w:r>
              <w:rPr>
                <w:rFonts w:hint="eastAsia" w:ascii="宋体" w:hAnsi="宋体" w:eastAsia="宋体" w:cs="宋体"/>
                <w:i w:val="0"/>
                <w:color w:val="000000"/>
                <w:kern w:val="0"/>
                <w:sz w:val="20"/>
                <w:szCs w:val="20"/>
                <w:u w:val="none"/>
                <w:lang w:val="en-US" w:eastAsia="zh-CN" w:bidi="ar"/>
              </w:rPr>
              <w:t>1台</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采暖专用液</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rPr>
            </w:pPr>
            <w:r>
              <w:rPr>
                <w:rFonts w:hint="eastAsia" w:ascii="宋体" w:hAnsi="宋体" w:eastAsia="宋体" w:cs="宋体"/>
                <w:i w:val="0"/>
                <w:color w:val="000000"/>
                <w:kern w:val="0"/>
                <w:sz w:val="20"/>
                <w:szCs w:val="20"/>
                <w:u w:val="none"/>
                <w:lang w:val="en-US" w:eastAsia="zh-CN" w:bidi="ar"/>
              </w:rPr>
              <w:t>1户</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rPr>
            </w:pPr>
            <w:r>
              <w:rPr>
                <w:rFonts w:hint="eastAsia" w:ascii="宋体" w:hAnsi="宋体" w:eastAsia="宋体" w:cs="宋体"/>
                <w:i w:val="0"/>
                <w:color w:val="000000"/>
                <w:kern w:val="0"/>
                <w:sz w:val="20"/>
                <w:szCs w:val="20"/>
                <w:u w:val="none"/>
                <w:lang w:val="en-US" w:eastAsia="zh-CN" w:bidi="ar"/>
              </w:rPr>
              <w:t>1户</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液体专用暖气片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rPr>
            </w:pPr>
            <w:r>
              <w:rPr>
                <w:rFonts w:hint="eastAsia" w:ascii="宋体" w:hAnsi="宋体" w:eastAsia="宋体" w:cs="宋体"/>
                <w:i w:val="0"/>
                <w:color w:val="000000"/>
                <w:kern w:val="0"/>
                <w:sz w:val="20"/>
                <w:szCs w:val="20"/>
                <w:u w:val="none"/>
                <w:lang w:val="en-US" w:eastAsia="zh-CN" w:bidi="ar"/>
              </w:rPr>
              <w:t>30片</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rPr>
            </w:pPr>
            <w:r>
              <w:rPr>
                <w:rFonts w:hint="eastAsia" w:ascii="宋体" w:hAnsi="宋体" w:eastAsia="宋体" w:cs="宋体"/>
                <w:i w:val="0"/>
                <w:color w:val="000000"/>
                <w:kern w:val="0"/>
                <w:sz w:val="20"/>
                <w:szCs w:val="20"/>
                <w:u w:val="none"/>
                <w:lang w:val="en-US" w:eastAsia="zh-CN" w:bidi="ar"/>
              </w:rPr>
              <w:t>30片</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液体专用PPR刚塑管</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rPr>
            </w:pPr>
            <w:r>
              <w:rPr>
                <w:rFonts w:hint="eastAsia" w:ascii="宋体" w:hAnsi="宋体" w:eastAsia="宋体" w:cs="宋体"/>
                <w:i w:val="0"/>
                <w:color w:val="000000"/>
                <w:kern w:val="0"/>
                <w:sz w:val="20"/>
                <w:szCs w:val="20"/>
                <w:u w:val="none"/>
                <w:lang w:val="en-US" w:eastAsia="zh-CN" w:bidi="ar"/>
              </w:rPr>
              <w:t>32米</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rPr>
            </w:pPr>
            <w:r>
              <w:rPr>
                <w:rFonts w:hint="eastAsia" w:ascii="宋体" w:hAnsi="宋体" w:eastAsia="宋体" w:cs="宋体"/>
                <w:i w:val="0"/>
                <w:color w:val="000000"/>
                <w:kern w:val="0"/>
                <w:sz w:val="20"/>
                <w:szCs w:val="20"/>
                <w:u w:val="none"/>
                <w:lang w:val="en-US" w:eastAsia="zh-CN" w:bidi="ar"/>
              </w:rPr>
              <w:t>32米</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36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循环泵</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rPr>
            </w:pPr>
            <w:r>
              <w:rPr>
                <w:rFonts w:hint="eastAsia" w:ascii="宋体" w:hAnsi="宋体" w:eastAsia="宋体" w:cs="宋体"/>
                <w:i w:val="0"/>
                <w:color w:val="000000"/>
                <w:kern w:val="0"/>
                <w:sz w:val="20"/>
                <w:szCs w:val="20"/>
                <w:u w:val="none"/>
                <w:lang w:val="en-US" w:eastAsia="zh-CN" w:bidi="ar"/>
              </w:rPr>
              <w:t>1台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rPr>
            </w:pPr>
            <w:r>
              <w:rPr>
                <w:rFonts w:hint="eastAsia" w:ascii="宋体" w:hAnsi="宋体" w:eastAsia="宋体" w:cs="宋体"/>
                <w:i w:val="0"/>
                <w:color w:val="000000"/>
                <w:kern w:val="0"/>
                <w:sz w:val="20"/>
                <w:szCs w:val="20"/>
                <w:u w:val="none"/>
                <w:lang w:val="en-US" w:eastAsia="zh-CN" w:bidi="ar"/>
              </w:rPr>
              <w:t>1台</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360" w:type="dxa"/>
            <w:vMerge w:val="continue"/>
            <w:tcBorders>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零星配套辅材费用</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rPr>
            </w:pPr>
            <w:r>
              <w:rPr>
                <w:rFonts w:hint="eastAsia" w:ascii="宋体" w:hAnsi="宋体" w:eastAsia="宋体" w:cs="宋体"/>
                <w:i w:val="0"/>
                <w:color w:val="000000"/>
                <w:kern w:val="0"/>
                <w:sz w:val="20"/>
                <w:szCs w:val="20"/>
                <w:u w:val="none"/>
                <w:lang w:val="en-US" w:eastAsia="zh-CN" w:bidi="ar"/>
              </w:rPr>
              <w:t>1户</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hint="eastAsia"/>
              </w:rPr>
            </w:pPr>
            <w:r>
              <w:rPr>
                <w:rFonts w:hint="eastAsia" w:ascii="宋体" w:hAnsi="宋体" w:eastAsia="宋体" w:cs="宋体"/>
                <w:i w:val="0"/>
                <w:color w:val="000000"/>
                <w:kern w:val="0"/>
                <w:sz w:val="20"/>
                <w:szCs w:val="20"/>
                <w:u w:val="none"/>
                <w:lang w:val="en-US" w:eastAsia="zh-CN" w:bidi="ar"/>
              </w:rPr>
              <w:t>1户</w:t>
            </w:r>
          </w:p>
        </w:tc>
      </w:tr>
      <w:tr>
        <w:tblPrEx>
          <w:tblLayout w:type="fixed"/>
          <w:tblCellMar>
            <w:top w:w="0" w:type="dxa"/>
            <w:left w:w="108" w:type="dxa"/>
            <w:bottom w:w="0" w:type="dxa"/>
            <w:right w:w="108" w:type="dxa"/>
          </w:tblCellMar>
        </w:tblPrEx>
        <w:trPr>
          <w:trHeight w:val="251"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tcBorders>
              <w:top w:val="nil"/>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工程验收合格率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Style w:val="8"/>
                <w:rFonts w:hint="eastAsia"/>
                <w:lang w:val="en-US" w:eastAsia="zh-CN" w:bidi="ar"/>
              </w:rPr>
              <w:t>≥90％</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≥90％</w:t>
            </w:r>
          </w:p>
        </w:tc>
      </w:tr>
      <w:tr>
        <w:tblPrEx>
          <w:tblLayout w:type="fixed"/>
          <w:tblCellMar>
            <w:top w:w="0" w:type="dxa"/>
            <w:left w:w="108" w:type="dxa"/>
            <w:bottom w:w="0" w:type="dxa"/>
            <w:right w:w="108" w:type="dxa"/>
          </w:tblCellMar>
        </w:tblPrEx>
        <w:trPr>
          <w:trHeight w:val="672"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工程完成时限</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2019年10月8日前</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2019年10月8日前</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项目期限内工程量完成率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20" w:firstLineChars="200"/>
              <w:jc w:val="center"/>
              <w:textAlignment w:val="auto"/>
              <w:rPr>
                <w:rFonts w:ascii="宋体" w:hAnsi="宋体" w:cs="宋体"/>
                <w:kern w:val="0"/>
                <w:sz w:val="20"/>
                <w:szCs w:val="20"/>
              </w:rPr>
            </w:pPr>
            <w:r>
              <w:rPr>
                <w:rFonts w:hint="eastAsia"/>
              </w:rPr>
              <w:t>煤改电安装补助标准</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20" w:firstLineChars="200"/>
              <w:jc w:val="center"/>
              <w:textAlignment w:val="auto"/>
              <w:rPr>
                <w:rFonts w:ascii="宋体" w:hAnsi="宋体" w:cs="宋体"/>
                <w:kern w:val="0"/>
                <w:sz w:val="20"/>
                <w:szCs w:val="20"/>
              </w:rPr>
            </w:pPr>
            <w:r>
              <w:rPr>
                <w:rFonts w:hint="eastAsia"/>
              </w:rPr>
              <w:t>≥9179元</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20" w:firstLineChars="200"/>
              <w:jc w:val="center"/>
              <w:textAlignment w:val="auto"/>
              <w:rPr>
                <w:rFonts w:ascii="宋体" w:hAnsi="宋体" w:cs="宋体"/>
                <w:kern w:val="0"/>
                <w:sz w:val="20"/>
                <w:szCs w:val="20"/>
              </w:rPr>
            </w:pPr>
            <w:r>
              <w:rPr>
                <w:rFonts w:hint="eastAsia"/>
              </w:rPr>
              <w:t>≥9179元</w:t>
            </w:r>
          </w:p>
        </w:tc>
      </w:tr>
      <w:tr>
        <w:tblPrEx>
          <w:tblLayout w:type="fixed"/>
          <w:tblCellMar>
            <w:top w:w="0" w:type="dxa"/>
            <w:left w:w="108" w:type="dxa"/>
            <w:bottom w:w="0" w:type="dxa"/>
            <w:right w:w="108" w:type="dxa"/>
          </w:tblCellMar>
        </w:tblPrEx>
        <w:trPr>
          <w:trHeight w:val="528"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项目效果指标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节约贫困户冬季取暖费用</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≥1000元</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≥1000元</w:t>
            </w:r>
          </w:p>
        </w:tc>
      </w:tr>
      <w:tr>
        <w:tblPrEx>
          <w:tblLayout w:type="fixed"/>
          <w:tblCellMar>
            <w:top w:w="0" w:type="dxa"/>
            <w:left w:w="108" w:type="dxa"/>
            <w:bottom w:w="0" w:type="dxa"/>
            <w:right w:w="108" w:type="dxa"/>
          </w:tblCellMar>
        </w:tblPrEx>
        <w:trPr>
          <w:trHeight w:val="352"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提高贫困户群众生活质量，改善生活条件</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受益建档立卡贫困人口数</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56户</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56户</w:t>
            </w:r>
          </w:p>
        </w:tc>
      </w:tr>
      <w:tr>
        <w:tblPrEx>
          <w:tblLayout w:type="fixed"/>
          <w:tblCellMar>
            <w:top w:w="0" w:type="dxa"/>
            <w:left w:w="108" w:type="dxa"/>
            <w:bottom w:w="0" w:type="dxa"/>
            <w:right w:w="108" w:type="dxa"/>
          </w:tblCellMar>
        </w:tblPrEx>
        <w:trPr>
          <w:trHeight w:val="1137"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减少煤炭采暖对大气的污染</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有效</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有效</w:t>
            </w:r>
          </w:p>
        </w:tc>
      </w:tr>
      <w:tr>
        <w:tblPrEx>
          <w:tblLayout w:type="fixed"/>
          <w:tblCellMar>
            <w:top w:w="0" w:type="dxa"/>
            <w:left w:w="108" w:type="dxa"/>
            <w:bottom w:w="0" w:type="dxa"/>
            <w:right w:w="108" w:type="dxa"/>
          </w:tblCellMar>
        </w:tblPrEx>
        <w:trPr>
          <w:trHeight w:val="371"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工程使用年限</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≥15年</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≥15年</w:t>
            </w:r>
          </w:p>
        </w:tc>
      </w:tr>
      <w:tr>
        <w:tblPrEx>
          <w:tblLayout w:type="fixed"/>
          <w:tblCellMar>
            <w:top w:w="0" w:type="dxa"/>
            <w:left w:w="108" w:type="dxa"/>
            <w:bottom w:w="0" w:type="dxa"/>
            <w:right w:w="108" w:type="dxa"/>
          </w:tblCellMar>
        </w:tblPrEx>
        <w:trPr>
          <w:trHeight w:val="1147"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 xml:space="preserve"> 解决贫困户冬季取暖</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有效</w:t>
            </w:r>
          </w:p>
        </w:tc>
      </w:tr>
      <w:tr>
        <w:tblPrEx>
          <w:tblLayout w:type="fixed"/>
          <w:tblCellMar>
            <w:top w:w="0" w:type="dxa"/>
            <w:left w:w="108" w:type="dxa"/>
            <w:bottom w:w="0" w:type="dxa"/>
            <w:right w:w="108" w:type="dxa"/>
          </w:tblCellMar>
        </w:tblPrEx>
        <w:trPr>
          <w:trHeight w:val="344"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项目受益户满意度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≥95</w:t>
            </w:r>
            <w:r>
              <w:rPr>
                <w:rFonts w:ascii="宋体" w:hAnsi="宋体" w:eastAsia="宋体" w:cs="宋体"/>
                <w:i w:val="0"/>
                <w:color w:val="000000"/>
                <w:kern w:val="0"/>
                <w:sz w:val="20"/>
                <w:szCs w:val="20"/>
                <w:u w:val="none"/>
                <w:lang w:val="en-US" w:eastAsia="zh-CN" w:bidi="ar"/>
              </w:rPr>
              <w:t>％</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≥95</w:t>
            </w:r>
            <w:r>
              <w:rPr>
                <w:rFonts w:ascii="宋体" w:hAnsi="宋体" w:eastAsia="宋体" w:cs="宋体"/>
                <w:i w:val="0"/>
                <w:color w:val="000000"/>
                <w:kern w:val="0"/>
                <w:sz w:val="20"/>
                <w:szCs w:val="20"/>
                <w:u w:val="none"/>
                <w:lang w:val="en-US" w:eastAsia="zh-CN" w:bidi="ar"/>
              </w:rPr>
              <w:t>％</w:t>
            </w:r>
          </w:p>
        </w:tc>
      </w:tr>
      <w:tr>
        <w:tblPrEx>
          <w:tblLayout w:type="fixed"/>
          <w:tblCellMar>
            <w:top w:w="0" w:type="dxa"/>
            <w:left w:w="108" w:type="dxa"/>
            <w:bottom w:w="0" w:type="dxa"/>
            <w:right w:w="108" w:type="dxa"/>
          </w:tblCellMar>
        </w:tblPrEx>
        <w:trPr>
          <w:trHeight w:val="443"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贫困户群众对项目实施情况满意度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≥90％</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400" w:firstLineChars="200"/>
              <w:jc w:val="center"/>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≥90％</w:t>
            </w:r>
          </w:p>
        </w:tc>
      </w:tr>
    </w:tbl>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420" w:firstLineChars="200"/>
      </w:pPr>
    </w:p>
    <w:p>
      <w:pPr>
        <w:keepNext w:val="0"/>
        <w:keepLines w:val="0"/>
        <w:pageBreakBefore w:val="0"/>
        <w:kinsoku/>
        <w:wordWrap/>
        <w:overflowPunct/>
        <w:topLinePunct w:val="0"/>
        <w:autoSpaceDE/>
        <w:autoSpaceDN/>
        <w:bidi w:val="0"/>
        <w:adjustRightInd/>
        <w:snapToGrid/>
        <w:spacing w:line="560" w:lineRule="exact"/>
        <w:ind w:firstLine="420" w:firstLineChars="200"/>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3"/>
          <w:jc w:val="center"/>
        </w:pPr>
        <w:r>
          <w:fldChar w:fldCharType="begin"/>
        </w:r>
        <w:r>
          <w:instrText xml:space="preserve">PAGE   \* MERGEFORMAT</w:instrText>
        </w:r>
        <w:r>
          <w:fldChar w:fldCharType="separate"/>
        </w:r>
        <w:r>
          <w:rPr>
            <w:lang w:val="zh-CN"/>
          </w:rPr>
          <w:t>1</w:t>
        </w:r>
        <w: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CB4508"/>
    <w:multiLevelType w:val="singleLevel"/>
    <w:tmpl w:val="FCCB4508"/>
    <w:lvl w:ilvl="0" w:tentative="0">
      <w:start w:val="2"/>
      <w:numFmt w:val="decimal"/>
      <w:suff w:val="nothing"/>
      <w:lvlText w:val="%1、"/>
      <w:lvlJc w:val="left"/>
    </w:lvl>
  </w:abstractNum>
  <w:abstractNum w:abstractNumId="1">
    <w:nsid w:val="68BF5C78"/>
    <w:multiLevelType w:val="singleLevel"/>
    <w:tmpl w:val="68BF5C78"/>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6B2CC6"/>
    <w:rsid w:val="0A923301"/>
    <w:rsid w:val="136B2CC6"/>
    <w:rsid w:val="3FCF4763"/>
    <w:rsid w:val="704403F3"/>
    <w:rsid w:val="74D86AF2"/>
    <w:rsid w:val="751A1399"/>
    <w:rsid w:val="76E53D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Body Text Indent"/>
    <w:basedOn w:val="1"/>
    <w:qFormat/>
    <w:uiPriority w:val="0"/>
    <w:pPr>
      <w:ind w:firstLine="630" w:firstLineChars="210"/>
    </w:pPr>
    <w:rPr>
      <w:sz w:val="30"/>
      <w:lang w:val="en-US" w:eastAsia="zh-CN" w:bidi="ar-SA"/>
    </w:rPr>
  </w:style>
  <w:style w:type="paragraph" w:styleId="3">
    <w:name w:val="footer"/>
    <w:basedOn w:val="1"/>
    <w:unhideWhenUsed/>
    <w:qFormat/>
    <w:uiPriority w:val="99"/>
    <w:pPr>
      <w:tabs>
        <w:tab w:val="center" w:pos="4153"/>
        <w:tab w:val="right" w:pos="8306"/>
      </w:tabs>
      <w:snapToGrid w:val="0"/>
      <w:jc w:val="left"/>
    </w:pPr>
    <w:rPr>
      <w:rFonts w:ascii="Calibri" w:hAnsi="Calibri"/>
      <w:sz w:val="18"/>
      <w:szCs w:val="18"/>
    </w:rPr>
  </w:style>
  <w:style w:type="character" w:styleId="6">
    <w:name w:val="Strong"/>
    <w:basedOn w:val="5"/>
    <w:qFormat/>
    <w:uiPriority w:val="0"/>
    <w:rPr>
      <w:b/>
      <w:bCs/>
    </w:rPr>
  </w:style>
  <w:style w:type="paragraph" w:customStyle="1" w:styleId="7">
    <w:name w:val="p15"/>
    <w:basedOn w:val="1"/>
    <w:qFormat/>
    <w:uiPriority w:val="0"/>
    <w:pPr>
      <w:snapToGrid/>
      <w:spacing w:before="0" w:after="0"/>
      <w:jc w:val="both"/>
    </w:pPr>
    <w:rPr>
      <w:rFonts w:ascii="Times New Roman" w:hAnsi="Times New Roman" w:eastAsia="宋体" w:cs="Times New Roman"/>
      <w:sz w:val="21"/>
      <w:szCs w:val="21"/>
    </w:rPr>
  </w:style>
  <w:style w:type="character" w:customStyle="1" w:styleId="8">
    <w:name w:val="font11"/>
    <w:basedOn w:val="5"/>
    <w:qFormat/>
    <w:uiPriority w:val="0"/>
    <w:rPr>
      <w:rFonts w:hint="eastAsia" w:ascii="宋体" w:hAnsi="宋体" w:eastAsia="宋体" w:cs="宋体"/>
      <w:color w:val="000000"/>
      <w:sz w:val="20"/>
      <w:szCs w:val="20"/>
      <w:u w:val="none"/>
    </w:rPr>
  </w:style>
  <w:style w:type="character" w:customStyle="1" w:styleId="9">
    <w:name w:val="font01"/>
    <w:basedOn w:val="5"/>
    <w:qFormat/>
    <w:uiPriority w:val="0"/>
    <w:rPr>
      <w:rFonts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2019-11-07T10:23:00Z</dcterms:created>
  <dc:creator>Administrator</dc:creator>
  <cp:lastModifiedBy>Administrator</cp:lastModifiedBy>
  <dcterms:modified xsi:type="dcterms:W3CDTF">2019-11-09T02:37:47Z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