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瓦石峡镇塔什萨依村特色民宿项目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pStyle w:val="7"/>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4.5</w:t>
      </w:r>
      <w:r>
        <w:rPr>
          <w:rFonts w:hint="eastAsia" w:ascii="仿宋" w:hAnsi="仿宋" w:eastAsia="仿宋" w:cs="仿宋"/>
          <w:sz w:val="32"/>
          <w:szCs w:val="32"/>
        </w:rPr>
        <w:t>万元，</w:t>
      </w:r>
      <w:r>
        <w:rPr>
          <w:rFonts w:hint="default" w:ascii="Times New Roman" w:hAnsi="Times New Roman" w:eastAsia="仿宋" w:cs="Times New Roman"/>
          <w:color w:val="auto"/>
          <w:sz w:val="32"/>
          <w:szCs w:val="32"/>
          <w:lang w:val="en-US" w:eastAsia="zh-CN" w:bidi="ar-SA"/>
        </w:rPr>
        <w:t>发展集住宿、餐饮为一体的特色民宿3户，每户补助1.5万元（其中：投资1万元用于对现有住房进行装修和局部改造，投资0.5万元用于购置厨具、床上用品等）。</w:t>
      </w:r>
    </w:p>
    <w:p>
      <w:pPr>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textAlignment w:val="auto"/>
        <w:rPr>
          <w:rStyle w:val="6"/>
          <w:rFonts w:hint="eastAsia" w:ascii="仿宋" w:hAnsi="仿宋" w:eastAsia="仿宋" w:cs="仿宋"/>
          <w:b w:val="0"/>
          <w:spacing w:val="-4"/>
          <w:sz w:val="32"/>
          <w:szCs w:val="32"/>
        </w:rPr>
      </w:pPr>
      <w:r>
        <w:rPr>
          <w:rFonts w:hint="eastAsia" w:ascii="仿宋" w:hAnsi="仿宋" w:eastAsia="仿宋" w:cs="仿宋"/>
          <w:sz w:val="32"/>
          <w:szCs w:val="32"/>
        </w:rPr>
        <w:t>2.主要目标任务：</w:t>
      </w:r>
      <w:r>
        <w:rPr>
          <w:rFonts w:hint="eastAsia" w:ascii="Times New Roman" w:hAnsi="Times New Roman" w:eastAsia="仿宋" w:cs="Times New Roman"/>
          <w:sz w:val="32"/>
          <w:lang w:val="en-US" w:eastAsia="zh-CN"/>
        </w:rPr>
        <w:t>通过持续健康引导和发展，恢复双休日后，远期年吸引游客不少于1万人，可培育本村20-30户村民开办农家乐及民宿业，可带动贫困户增收100万元。</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val="en-US"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4.5</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w:t>
      </w:r>
      <w:r>
        <w:rPr>
          <w:rFonts w:hint="eastAsia" w:ascii="仿宋" w:hAnsi="仿宋" w:eastAsia="仿宋" w:cs="仿宋"/>
          <w:kern w:val="0"/>
          <w:sz w:val="36"/>
          <w:szCs w:val="36"/>
          <w:lang w:eastAsia="zh-CN"/>
        </w:rPr>
        <w:t>塔什萨依村特色民宿</w:t>
      </w:r>
      <w:r>
        <w:rPr>
          <w:rFonts w:hint="eastAsia" w:ascii="仿宋" w:hAnsi="仿宋" w:eastAsia="仿宋" w:cs="仿宋"/>
          <w:sz w:val="32"/>
          <w:szCs w:val="32"/>
          <w:lang w:eastAsia="zh-CN"/>
        </w:rPr>
        <w:t>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lang w:val="en-US" w:eastAsia="zh-CN" w:bidi="ar-SA"/>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月建设</w:t>
      </w:r>
      <w:r>
        <w:rPr>
          <w:rFonts w:hint="default" w:ascii="Times New Roman" w:hAnsi="Times New Roman" w:eastAsia="仿宋" w:cs="Times New Roman"/>
          <w:color w:val="auto"/>
          <w:sz w:val="32"/>
          <w:szCs w:val="32"/>
          <w:lang w:val="en-US" w:eastAsia="zh-CN" w:bidi="ar-SA"/>
        </w:rPr>
        <w:t>发展集</w:t>
      </w:r>
      <w:r>
        <w:rPr>
          <w:rFonts w:hint="eastAsia" w:eastAsia="仿宋" w:cs="Times New Roman"/>
          <w:color w:val="auto"/>
          <w:sz w:val="32"/>
          <w:szCs w:val="32"/>
          <w:lang w:val="en-US" w:eastAsia="zh-CN" w:bidi="ar-SA"/>
        </w:rPr>
        <w:t>体</w:t>
      </w:r>
      <w:r>
        <w:rPr>
          <w:rFonts w:hint="default" w:ascii="Times New Roman" w:hAnsi="Times New Roman" w:eastAsia="仿宋" w:cs="Times New Roman"/>
          <w:color w:val="auto"/>
          <w:sz w:val="32"/>
          <w:szCs w:val="32"/>
          <w:lang w:val="en-US" w:eastAsia="zh-CN" w:bidi="ar-SA"/>
        </w:rPr>
        <w:t>住宿、餐饮为一体的特色民宿</w:t>
      </w:r>
      <w:r>
        <w:rPr>
          <w:rFonts w:hint="eastAsia" w:eastAsia="仿宋" w:cs="Times New Roman"/>
          <w:color w:val="auto"/>
          <w:sz w:val="32"/>
          <w:szCs w:val="32"/>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20</w:t>
      </w:r>
      <w:r>
        <w:rPr>
          <w:rFonts w:hint="eastAsia" w:ascii="仿宋" w:hAnsi="仿宋" w:eastAsia="仿宋" w:cs="仿宋"/>
          <w:sz w:val="32"/>
          <w:szCs w:val="32"/>
          <w:lang w:eastAsia="zh-CN"/>
        </w:rPr>
        <w:t>日，由若羌县扶贫开发领导小组牵头组织住房和城乡建设局等部门组成验收组对该项目进行验收。验收组一行通过查阅资料档案、实地查看工程建设情况一致同意该项目等级为合格，通过验收。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right="0" w:rightChars="0" w:firstLine="624" w:firstLineChars="200"/>
        <w:textAlignment w:val="auto"/>
        <w:rPr>
          <w:rFonts w:hint="eastAsia" w:ascii="Times New Roman" w:hAnsi="Times New Roman" w:eastAsia="仿宋_GB2312" w:cs="Times New Roman"/>
          <w:sz w:val="32"/>
          <w:lang w:val="en-US" w:eastAsia="zh-CN"/>
        </w:rPr>
      </w:pPr>
      <w:r>
        <w:rPr>
          <w:rStyle w:val="6"/>
          <w:rFonts w:hint="eastAsia" w:ascii="仿宋" w:hAnsi="仿宋" w:eastAsia="仿宋" w:cs="仿宋"/>
          <w:b w:val="0"/>
          <w:spacing w:val="-4"/>
          <w:sz w:val="32"/>
          <w:szCs w:val="32"/>
        </w:rPr>
        <w:t>2019年</w:t>
      </w:r>
      <w:r>
        <w:rPr>
          <w:rStyle w:val="6"/>
          <w:rFonts w:hint="eastAsia" w:ascii="仿宋" w:hAnsi="仿宋" w:eastAsia="仿宋" w:cs="仿宋"/>
          <w:b w:val="0"/>
          <w:spacing w:val="-4"/>
          <w:sz w:val="32"/>
          <w:szCs w:val="32"/>
          <w:lang w:val="en-US" w:eastAsia="zh-CN"/>
        </w:rPr>
        <w:t>7</w:t>
      </w:r>
      <w:r>
        <w:rPr>
          <w:rStyle w:val="6"/>
          <w:rFonts w:hint="eastAsia" w:ascii="仿宋" w:hAnsi="仿宋" w:eastAsia="仿宋" w:cs="仿宋"/>
          <w:b w:val="0"/>
          <w:spacing w:val="-4"/>
          <w:sz w:val="32"/>
          <w:szCs w:val="32"/>
        </w:rPr>
        <w:t>月</w:t>
      </w:r>
      <w:r>
        <w:rPr>
          <w:rStyle w:val="6"/>
          <w:rFonts w:hint="eastAsia" w:ascii="仿宋" w:hAnsi="仿宋" w:eastAsia="仿宋" w:cs="仿宋"/>
          <w:b w:val="0"/>
          <w:spacing w:val="-4"/>
          <w:sz w:val="32"/>
          <w:szCs w:val="32"/>
          <w:lang w:val="en-US" w:eastAsia="zh-CN"/>
        </w:rPr>
        <w:t>20</w:t>
      </w:r>
      <w:r>
        <w:rPr>
          <w:rStyle w:val="6"/>
          <w:rFonts w:hint="eastAsia" w:ascii="仿宋" w:hAnsi="仿宋" w:eastAsia="仿宋" w:cs="仿宋"/>
          <w:b w:val="0"/>
          <w:spacing w:val="-4"/>
          <w:sz w:val="32"/>
          <w:szCs w:val="32"/>
        </w:rPr>
        <w:t>日前已</w:t>
      </w:r>
      <w:r>
        <w:rPr>
          <w:rStyle w:val="6"/>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Times New Roman" w:hAnsi="Times New Roman" w:eastAsia="仿宋_GB2312" w:cs="Times New Roman"/>
          <w:color w:val="auto"/>
          <w:sz w:val="32"/>
          <w:szCs w:val="22"/>
          <w:lang w:val="en-US" w:eastAsia="zh-CN" w:bidi="ar-SA"/>
        </w:rPr>
        <w:t>，</w:t>
      </w:r>
      <w:r>
        <w:rPr>
          <w:rFonts w:hint="eastAsia" w:ascii="Times New Roman" w:hAnsi="Times New Roman" w:eastAsia="仿宋" w:cs="Times New Roman"/>
          <w:sz w:val="32"/>
          <w:lang w:val="en-US" w:eastAsia="zh-CN"/>
        </w:rPr>
        <w:t>通过示范项目带动，吸引游客到乡村、田园进行采摘游玩，带动旅游消费的发展，近期可培育本村5—10户村民开办农家乐及民宿业发展，每户每年可增收3000元以上。通过持续健康引导和发展，恢复双休日后，远期年吸引游客不少于1万人，可培育本村20-30户村民开办农家乐及民宿业，可带动贫困户增收100万元。</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瓦石峡镇塔什萨依村</w:t>
            </w:r>
            <w:r>
              <w:rPr>
                <w:rFonts w:hint="eastAsia" w:ascii="宋体" w:hAnsi="宋体" w:cs="宋体"/>
                <w:kern w:val="0"/>
                <w:sz w:val="20"/>
                <w:szCs w:val="20"/>
                <w:lang w:eastAsia="zh-CN"/>
              </w:rPr>
              <w:t>特色民宿建设</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4.5</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4.5</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tabs>
                <w:tab w:val="center" w:pos="932"/>
                <w:tab w:val="right" w:pos="1744"/>
              </w:tabs>
              <w:kinsoku/>
              <w:wordWrap/>
              <w:overflowPunct/>
              <w:topLinePunct w:val="0"/>
              <w:autoSpaceDE/>
              <w:autoSpaceDN/>
              <w:bidi w:val="0"/>
              <w:adjustRightInd/>
              <w:snapToGrid/>
              <w:spacing w:line="240" w:lineRule="auto"/>
              <w:ind w:firstLine="400" w:firstLineChars="200"/>
              <w:jc w:val="left"/>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ab/>
            </w:r>
            <w:r>
              <w:rPr>
                <w:rFonts w:hint="eastAsia" w:ascii="宋体" w:hAnsi="宋体" w:cs="宋体"/>
                <w:kern w:val="0"/>
                <w:sz w:val="20"/>
                <w:szCs w:val="20"/>
                <w:lang w:val="en-US" w:eastAsia="zh-CN"/>
              </w:rPr>
              <w:t>4.5</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4.5</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4.5</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4.5</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室内刷乳胶漆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600㎡</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吊顶（PVC板）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外墙（外墙涂料）</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90㎡</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推拉门（铝塑钢、玻璃）</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7㎡</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7㎡</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贴墙砖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50㎡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50㎡</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抽水马桶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2个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2个</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厨柜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3m*1m压缩板</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3m*1m压缩板</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防盗门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2个/0.7m*2m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2个/0.7m*2m</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地板砖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100㎡/0.6m*0.6m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100㎡/0.6m*0.6m</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0"/>
                <w:szCs w:val="20"/>
                <w:u w:val="none"/>
                <w:lang w:val="en-US" w:eastAsia="zh-CN" w:bidi="ar"/>
              </w:rPr>
              <w:t>地角线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30m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30m</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1"/>
                <w:szCs w:val="21"/>
                <w:u w:val="none"/>
                <w:lang w:val="en-US" w:eastAsia="zh-CN" w:bidi="ar"/>
              </w:rPr>
              <w:t>卫生间隔断（铝塑钢、玻璃）</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9㎡</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9㎡</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1"/>
                <w:szCs w:val="21"/>
                <w:u w:val="none"/>
                <w:lang w:val="en-US" w:eastAsia="zh-CN" w:bidi="ar"/>
              </w:rPr>
              <w:t>线路、上下水、电路改造</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3户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3户</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1"/>
                <w:szCs w:val="21"/>
                <w:u w:val="none"/>
                <w:lang w:val="en-US" w:eastAsia="zh-CN" w:bidi="ar"/>
              </w:rPr>
              <w:t>席梦丝</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2个/1.2m*2m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2个/1.2m*2m</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1"/>
                <w:szCs w:val="21"/>
                <w:u w:val="none"/>
                <w:lang w:val="en-US" w:eastAsia="zh-CN" w:bidi="ar"/>
              </w:rPr>
              <w:t>被子、褥子、枕头、三件套（棉质）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6套</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6套</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1"/>
                <w:szCs w:val="21"/>
                <w:u w:val="none"/>
                <w:lang w:val="en-US" w:eastAsia="zh-CN" w:bidi="ar"/>
              </w:rPr>
              <w:t>28寸不锈钢锅</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3个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3个</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1"/>
                <w:szCs w:val="21"/>
                <w:u w:val="none"/>
                <w:lang w:val="en-US" w:eastAsia="zh-CN" w:bidi="ar"/>
              </w:rPr>
              <w:t>30寸不粘锅</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3个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3个</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1"/>
                <w:szCs w:val="21"/>
                <w:u w:val="none"/>
                <w:lang w:val="en-US" w:eastAsia="zh-CN" w:bidi="ar"/>
              </w:rPr>
              <w:t>30寸不锈钢</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6个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6个</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2" w:firstLineChars="200"/>
              <w:jc w:val="center"/>
              <w:textAlignment w:val="auto"/>
              <w:rPr>
                <w:rFonts w:ascii="宋体" w:hAnsi="宋体" w:cs="宋体"/>
                <w:b/>
                <w:bCs/>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center"/>
              <w:textAlignment w:val="center"/>
              <w:rPr>
                <w:rFonts w:hint="eastAsia" w:ascii="宋体" w:hAnsi="宋体" w:cs="宋体"/>
                <w:b/>
                <w:bCs/>
                <w:kern w:val="0"/>
                <w:sz w:val="20"/>
                <w:szCs w:val="20"/>
              </w:rPr>
            </w:pPr>
            <w:r>
              <w:rPr>
                <w:rFonts w:hint="eastAsia" w:ascii="宋体" w:hAnsi="宋体" w:eastAsia="宋体" w:cs="宋体"/>
                <w:i w:val="0"/>
                <w:color w:val="000000"/>
                <w:kern w:val="0"/>
                <w:sz w:val="21"/>
                <w:szCs w:val="21"/>
                <w:u w:val="none"/>
                <w:lang w:val="en-US" w:eastAsia="zh-CN" w:bidi="ar"/>
              </w:rPr>
              <w:t>菜板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b/>
                <w:bCs/>
                <w:kern w:val="0"/>
                <w:sz w:val="20"/>
                <w:szCs w:val="20"/>
                <w:lang w:eastAsia="zh-CN"/>
              </w:rPr>
            </w:pPr>
            <w:r>
              <w:rPr>
                <w:rFonts w:hint="eastAsia" w:ascii="宋体" w:hAnsi="宋体" w:eastAsia="宋体" w:cs="宋体"/>
                <w:i w:val="0"/>
                <w:color w:val="000000"/>
                <w:kern w:val="0"/>
                <w:sz w:val="20"/>
                <w:szCs w:val="20"/>
                <w:u w:val="none"/>
                <w:lang w:val="en-US" w:eastAsia="zh-CN" w:bidi="ar"/>
              </w:rPr>
              <w:t>3个/1m*0.6m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b/>
                <w:bCs/>
              </w:rPr>
            </w:pPr>
            <w:r>
              <w:rPr>
                <w:rFonts w:hint="eastAsia" w:ascii="宋体" w:hAnsi="宋体" w:eastAsia="宋体" w:cs="宋体"/>
                <w:i w:val="0"/>
                <w:color w:val="000000"/>
                <w:kern w:val="0"/>
                <w:sz w:val="20"/>
                <w:szCs w:val="20"/>
                <w:u w:val="none"/>
                <w:lang w:val="en-US" w:eastAsia="zh-CN" w:bidi="ar"/>
              </w:rPr>
              <w:t>3个/1m*0.6m</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97%</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97%</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电热水器（ENERGY　SECURITY）</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3个/50L</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3个/50L</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电饭锅三角牌</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3个/6L</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3个/6L</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2019年7月15日前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2019年7月15日前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庭院特色民宿建设补助标准</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≥1.5万元</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经济多样化，带动旅游消费的发展，增加收入来源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≥3000元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≥3000元</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改善庭院经济，促进经济发展</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充分发挥乡村各类物质与非物质资源富集的独特优势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增加贫困户收入，改善庭院经济</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Style w:val="8"/>
                <w:lang w:val="en-US" w:eastAsia="zh-CN" w:bidi="ar"/>
              </w:rPr>
              <w:t>≥96</w:t>
            </w:r>
            <w:r>
              <w:rPr>
                <w:rStyle w:val="9"/>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≥96</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贫困户群众对项目实施情况满意度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≥94％</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≥94％</w:t>
            </w:r>
          </w:p>
        </w:tc>
      </w:tr>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1534F"/>
    <w:rsid w:val="0610631F"/>
    <w:rsid w:val="361E6BD9"/>
    <w:rsid w:val="385444D4"/>
    <w:rsid w:val="6C41534F"/>
    <w:rsid w:val="7DD86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 w:type="paragraph" w:customStyle="1" w:styleId="7">
    <w:name w:val="p15"/>
    <w:basedOn w:val="1"/>
    <w:qFormat/>
    <w:uiPriority w:val="0"/>
    <w:pPr>
      <w:snapToGrid/>
      <w:spacing w:before="0" w:after="0"/>
      <w:jc w:val="both"/>
    </w:pPr>
    <w:rPr>
      <w:rFonts w:ascii="Times New Roman" w:hAnsi="Times New Roman" w:eastAsia="宋体" w:cs="Times New Roman"/>
      <w:sz w:val="21"/>
      <w:szCs w:val="21"/>
    </w:rPr>
  </w:style>
  <w:style w:type="character" w:customStyle="1" w:styleId="8">
    <w:name w:val="font21"/>
    <w:basedOn w:val="5"/>
    <w:uiPriority w:val="0"/>
    <w:rPr>
      <w:rFonts w:hint="eastAsia" w:ascii="宋体" w:hAnsi="宋体" w:eastAsia="宋体" w:cs="宋体"/>
      <w:color w:val="000000"/>
      <w:sz w:val="20"/>
      <w:szCs w:val="20"/>
      <w:u w:val="none"/>
    </w:rPr>
  </w:style>
  <w:style w:type="character" w:customStyle="1" w:styleId="9">
    <w:name w:val="font11"/>
    <w:basedOn w:val="5"/>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2019-11-07T12:50:00Z</dcterms:created>
  <dc:creator>Administrator</dc:creator>
  <cp:lastModifiedBy>Administrator</cp:lastModifiedBy>
  <dcterms:modified xsi:type="dcterms:W3CDTF">2019-11-09T02:40:18Z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