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4" w:firstLineChars="200"/>
        <w:jc w:val="center"/>
        <w:textAlignment w:val="auto"/>
        <w:rPr>
          <w:rFonts w:hint="eastAsia" w:ascii="仿宋" w:hAnsi="仿宋" w:eastAsia="仿宋" w:cs="仿宋"/>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4" w:firstLineChars="200"/>
        <w:jc w:val="center"/>
        <w:textAlignment w:val="auto"/>
        <w:rPr>
          <w:rFonts w:hint="eastAsia" w:ascii="仿宋" w:hAnsi="仿宋" w:eastAsia="仿宋" w:cs="仿宋"/>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4" w:firstLineChars="200"/>
        <w:jc w:val="center"/>
        <w:textAlignment w:val="auto"/>
        <w:rPr>
          <w:rFonts w:hint="eastAsia" w:ascii="仿宋" w:hAnsi="仿宋" w:eastAsia="仿宋" w:cs="仿宋"/>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4" w:firstLineChars="200"/>
        <w:jc w:val="center"/>
        <w:textAlignment w:val="auto"/>
        <w:rPr>
          <w:rFonts w:hint="eastAsia" w:ascii="仿宋" w:hAnsi="仿宋" w:eastAsia="仿宋" w:cs="仿宋"/>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4" w:firstLineChars="200"/>
        <w:jc w:val="center"/>
        <w:textAlignment w:val="auto"/>
        <w:rPr>
          <w:rFonts w:hint="eastAsia" w:ascii="仿宋" w:hAnsi="仿宋" w:eastAsia="仿宋" w:cs="仿宋"/>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4" w:firstLineChars="200"/>
        <w:jc w:val="center"/>
        <w:textAlignment w:val="auto"/>
        <w:rPr>
          <w:rFonts w:hint="eastAsia" w:ascii="仿宋" w:hAnsi="仿宋" w:eastAsia="仿宋" w:cs="仿宋"/>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kern w:val="0"/>
          <w:sz w:val="48"/>
          <w:szCs w:val="48"/>
        </w:rPr>
      </w:pPr>
      <w:bookmarkStart w:id="0" w:name="_GoBack"/>
      <w:bookmarkEnd w:id="0"/>
      <w:r>
        <w:rPr>
          <w:rFonts w:hint="eastAsia" w:ascii="仿宋" w:hAnsi="仿宋" w:eastAsia="仿宋" w:cs="仿宋"/>
          <w:b/>
          <w:kern w:val="0"/>
          <w:sz w:val="48"/>
          <w:szCs w:val="48"/>
        </w:rPr>
        <w:t>若羌</w:t>
      </w:r>
      <w:r>
        <w:rPr>
          <w:rFonts w:hint="eastAsia" w:ascii="仿宋" w:hAnsi="仿宋" w:eastAsia="仿宋" w:cs="仿宋"/>
          <w:b/>
          <w:kern w:val="0"/>
          <w:sz w:val="48"/>
          <w:szCs w:val="48"/>
          <w:lang w:eastAsia="zh-CN"/>
        </w:rPr>
        <w:t>县瓦石峡镇人民政府</w:t>
      </w:r>
      <w:r>
        <w:rPr>
          <w:rFonts w:hint="eastAsia" w:ascii="仿宋" w:hAnsi="仿宋" w:eastAsia="仿宋" w:cs="仿宋"/>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4" w:firstLineChars="200"/>
        <w:jc w:val="center"/>
        <w:textAlignment w:val="auto"/>
        <w:rPr>
          <w:rFonts w:hint="eastAsia" w:ascii="仿宋" w:hAnsi="仿宋" w:eastAsia="仿宋" w:cs="仿宋"/>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int="eastAsia" w:ascii="仿宋" w:hAnsi="仿宋" w:eastAsia="仿宋" w:cs="仿宋"/>
          <w:kern w:val="0"/>
          <w:sz w:val="36"/>
          <w:szCs w:val="36"/>
        </w:rPr>
      </w:pPr>
      <w:r>
        <w:rPr>
          <w:rFonts w:hint="eastAsia" w:ascii="仿宋" w:hAnsi="仿宋" w:eastAsia="仿宋" w:cs="仿宋"/>
          <w:kern w:val="0"/>
          <w:sz w:val="36"/>
          <w:szCs w:val="36"/>
        </w:rPr>
        <w:t>（</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ascii="仿宋" w:hAnsi="仿宋" w:eastAsia="仿宋" w:cs="仿宋"/>
          <w:kern w:val="0"/>
          <w:sz w:val="36"/>
          <w:szCs w:val="36"/>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ascii="仿宋" w:hAnsi="仿宋" w:eastAsia="仿宋" w:cs="仿宋"/>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kern w:val="0"/>
          <w:sz w:val="36"/>
          <w:szCs w:val="36"/>
          <w:lang w:eastAsia="zh-CN"/>
        </w:rPr>
        <w:t>瓦石峡镇塔什萨依村防渗渠建设项目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（二）项目预算绩效目标设定情况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79.5</w:t>
      </w:r>
      <w:r>
        <w:rPr>
          <w:rFonts w:hint="eastAsia" w:ascii="仿宋" w:hAnsi="仿宋" w:eastAsia="仿宋" w:cs="仿宋"/>
          <w:sz w:val="32"/>
          <w:szCs w:val="32"/>
        </w:rPr>
        <w:t>万元，建设塔什萨依村牧民一期耕地防渗渠3公里，农渠断面型式采用70U型断面（设计渠深0.7m，口宽1m，壁厚6cm，涉及流量0.15m3/s），C20W4F150混凝土，下设200㎜厚砂砾石防冻层</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主要目标任务：该项目建成后一.可使11户贫困户每户20亩，共220余亩耕地能够使用地表水，使用地表水灌溉20亩耕地所用的时间从原来的24小时缩短至6个小时左右，极大减少劳动力消耗，同时灌溉缩短轮灌周期；二.使用地下水灌溉，需支付用电费，现灌溉费用在250元左右/亩，20亩耕地费用在5000元左右，使用地表水只需支付水费用，水费160元左右/亩，20亩耕地水费3200元左右，使用地表水较往年使用地下水节约费用90元/亩，20亩耕地费用在1800元左右，且地表水比地下水水资源费用低，减少灌溉成本；三.地下水灌溉水温较低，对农田改良，农作物产量和品质有较小的影响，使用地表水后缩短新开垦耕地改良周期，减少改良成本，可提高农作物的产量和品质，对于促进贫困牧民脱贫致富具有十分重要的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6"/>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79.5</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2019年度中央提前告知财政专项扶贫资金。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瓦石峡镇塔什萨依村防渗渠建设项目。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月建设塔什萨依村防渗渠3公里。</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月2</w:t>
      </w:r>
      <w:r>
        <w:rPr>
          <w:rFonts w:hint="eastAsia" w:ascii="仿宋" w:hAnsi="仿宋" w:eastAsia="仿宋" w:cs="仿宋"/>
          <w:sz w:val="32"/>
          <w:szCs w:val="32"/>
          <w:lang w:val="en-US" w:eastAsia="zh-CN"/>
        </w:rPr>
        <w:t>0</w:t>
      </w:r>
      <w:r>
        <w:rPr>
          <w:rFonts w:hint="eastAsia" w:ascii="仿宋" w:hAnsi="仿宋" w:eastAsia="仿宋" w:cs="仿宋"/>
          <w:sz w:val="32"/>
          <w:szCs w:val="32"/>
          <w:lang w:eastAsia="zh-CN"/>
        </w:rPr>
        <w:t>日，由若羌县扶贫开发领导小组牵头组织水利局等部门组成验收组对该项目进行验收。验收组一行通过查阅资料档案、实地查看工程建设情况一致同意该项目等级为合格，通过验收。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spacing w:val="-4"/>
          <w:sz w:val="32"/>
          <w:szCs w:val="32"/>
        </w:rPr>
      </w:pPr>
      <w:r>
        <w:rPr>
          <w:rStyle w:val="6"/>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rPr>
      </w:pPr>
      <w:r>
        <w:rPr>
          <w:rStyle w:val="6"/>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pStyle w:val="2"/>
        <w:keepNext w:val="0"/>
        <w:keepLines w:val="0"/>
        <w:pageBreakBefore w:val="0"/>
        <w:kinsoku/>
        <w:wordWrap/>
        <w:overflowPunct/>
        <w:topLinePunct w:val="0"/>
        <w:autoSpaceDE/>
        <w:autoSpaceDN/>
        <w:bidi w:val="0"/>
        <w:adjustRightInd/>
        <w:snapToGrid/>
        <w:spacing w:line="560" w:lineRule="exact"/>
        <w:ind w:left="0" w:leftChars="0" w:firstLine="624" w:firstLineChars="200"/>
        <w:jc w:val="left"/>
        <w:textAlignment w:val="auto"/>
        <w:rPr>
          <w:rFonts w:hint="eastAsia" w:ascii="仿宋" w:hAnsi="仿宋" w:eastAsia="仿宋" w:cs="仿宋"/>
          <w:sz w:val="32"/>
          <w:lang w:val="en-US" w:eastAsia="zh-CN"/>
        </w:rPr>
      </w:pPr>
      <w:r>
        <w:rPr>
          <w:rStyle w:val="6"/>
          <w:rFonts w:hint="eastAsia" w:ascii="仿宋" w:hAnsi="仿宋" w:eastAsia="仿宋" w:cs="仿宋"/>
          <w:b w:val="0"/>
          <w:spacing w:val="-4"/>
          <w:sz w:val="32"/>
          <w:szCs w:val="32"/>
        </w:rPr>
        <w:t>2019年</w:t>
      </w:r>
      <w:r>
        <w:rPr>
          <w:rStyle w:val="6"/>
          <w:rFonts w:hint="eastAsia" w:ascii="仿宋" w:hAnsi="仿宋" w:eastAsia="仿宋" w:cs="仿宋"/>
          <w:b w:val="0"/>
          <w:spacing w:val="-4"/>
          <w:sz w:val="32"/>
          <w:szCs w:val="32"/>
          <w:lang w:val="en-US" w:eastAsia="zh-CN"/>
        </w:rPr>
        <w:t>8</w:t>
      </w:r>
      <w:r>
        <w:rPr>
          <w:rStyle w:val="6"/>
          <w:rFonts w:hint="eastAsia" w:ascii="仿宋" w:hAnsi="仿宋" w:eastAsia="仿宋" w:cs="仿宋"/>
          <w:b w:val="0"/>
          <w:spacing w:val="-4"/>
          <w:sz w:val="32"/>
          <w:szCs w:val="32"/>
        </w:rPr>
        <w:t>月</w:t>
      </w:r>
      <w:r>
        <w:rPr>
          <w:rStyle w:val="6"/>
          <w:rFonts w:hint="eastAsia" w:ascii="仿宋" w:hAnsi="仿宋" w:eastAsia="仿宋" w:cs="仿宋"/>
          <w:b w:val="0"/>
          <w:spacing w:val="-4"/>
          <w:sz w:val="32"/>
          <w:szCs w:val="32"/>
          <w:lang w:val="en-US" w:eastAsia="zh-CN"/>
        </w:rPr>
        <w:t>6</w:t>
      </w:r>
      <w:r>
        <w:rPr>
          <w:rStyle w:val="6"/>
          <w:rFonts w:hint="eastAsia" w:ascii="仿宋" w:hAnsi="仿宋" w:eastAsia="仿宋" w:cs="仿宋"/>
          <w:b w:val="0"/>
          <w:spacing w:val="-4"/>
          <w:sz w:val="32"/>
          <w:szCs w:val="32"/>
        </w:rPr>
        <w:t>日前已</w:t>
      </w:r>
      <w:r>
        <w:rPr>
          <w:rStyle w:val="6"/>
          <w:rFonts w:hint="eastAsia" w:ascii="仿宋" w:hAnsi="仿宋" w:eastAsia="仿宋" w:cs="仿宋"/>
          <w:b w:val="0"/>
          <w:spacing w:val="-4"/>
          <w:sz w:val="32"/>
          <w:szCs w:val="32"/>
          <w:lang w:eastAsia="zh-CN"/>
        </w:rPr>
        <w:t>按照项目计划完成，</w:t>
      </w:r>
      <w:r>
        <w:rPr>
          <w:rFonts w:hint="eastAsia" w:ascii="仿宋" w:hAnsi="仿宋" w:eastAsia="仿宋" w:cs="仿宋"/>
          <w:kern w:val="2"/>
          <w:sz w:val="32"/>
          <w:szCs w:val="24"/>
          <w:lang w:val="en-US" w:eastAsia="zh-CN" w:bidi="ar-SA"/>
        </w:rPr>
        <w:t>该项目建成后，一是可使11户贫困户每户20亩，共220余亩耕地能够使用地表水，使用地表水灌溉20亩耕地所用的时间从原来的24小时缩短至6个小时左右，极大减少劳动力消耗，同时灌溉缩短轮灌周期；二是使用地下水灌溉，需支付用电费，现灌溉费用在250元左右/亩，20亩耕地费用在5000元左右，使用地表水只需支付水费用，水费160元左右/亩，20亩耕地水费3200元左右，使用地表水较往年使用地下水节约费用90元/亩，20亩耕地费用在1800元左右，且地表水比地下水水资源费用低，减少灌溉成本；三是地下水灌溉水温较低，对农田改良，农作物产量和品质有较小的影响，使用地表水后缩短新开垦耕地改良周期，减少改良成本，可提高农作物的产量和品质，对于促进贫困牧民脱贫致富具有十分重要的作用。</w:t>
      </w:r>
      <w:r>
        <w:rPr>
          <w:rFonts w:hint="eastAsia" w:ascii="仿宋" w:hAnsi="仿宋" w:eastAsia="仿宋" w:cs="仿宋"/>
          <w:sz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6"/>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6"/>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6"/>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1、</w:t>
      </w:r>
      <w:r>
        <w:rPr>
          <w:rStyle w:val="6"/>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bCs w:val="0"/>
          <w:spacing w:val="-4"/>
          <w:sz w:val="32"/>
          <w:szCs w:val="32"/>
          <w:lang w:val="en-US" w:eastAsia="zh-CN"/>
        </w:rPr>
      </w:pPr>
      <w:r>
        <w:rPr>
          <w:rStyle w:val="6"/>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6"/>
          <w:rFonts w:hint="eastAsia" w:ascii="仿宋" w:hAnsi="仿宋" w:eastAsia="仿宋" w:cs="仿宋"/>
          <w:b/>
          <w:bCs w:val="0"/>
          <w:spacing w:val="-4"/>
          <w:sz w:val="32"/>
          <w:szCs w:val="32"/>
          <w:lang w:eastAsia="zh-CN"/>
        </w:rPr>
      </w:pPr>
      <w:r>
        <w:rPr>
          <w:rStyle w:val="6"/>
          <w:rFonts w:hint="eastAsia" w:ascii="仿宋" w:hAnsi="仿宋" w:eastAsia="仿宋" w:cs="仿宋"/>
          <w:b/>
          <w:bCs w:val="0"/>
          <w:spacing w:val="-4"/>
          <w:sz w:val="32"/>
          <w:szCs w:val="32"/>
          <w:lang w:val="en-US" w:eastAsia="zh-CN"/>
        </w:rPr>
        <w:t>2、</w:t>
      </w:r>
      <w:r>
        <w:rPr>
          <w:rStyle w:val="6"/>
          <w:rFonts w:hint="eastAsia" w:ascii="仿宋" w:hAnsi="仿宋" w:eastAsia="仿宋" w:cs="仿宋"/>
          <w:b/>
          <w:bCs w:val="0"/>
          <w:spacing w:val="-4"/>
          <w:sz w:val="32"/>
          <w:szCs w:val="32"/>
          <w:lang w:eastAsia="zh-CN"/>
        </w:rPr>
        <w:t>对项目法人的建</w:t>
      </w:r>
      <w:r>
        <w:rPr>
          <w:rStyle w:val="6"/>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eastAsia="zh-CN"/>
        </w:rPr>
      </w:pPr>
      <w:r>
        <w:rPr>
          <w:rStyle w:val="6"/>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lang w:val="en-US" w:eastAsia="zh-CN"/>
        </w:rPr>
      </w:pPr>
      <w:r>
        <w:rPr>
          <w:rStyle w:val="6"/>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r>
        <w:rPr>
          <w:rStyle w:val="6"/>
          <w:rFonts w:hint="eastAsia" w:ascii="仿宋" w:hAnsi="仿宋" w:eastAsia="仿宋" w:cs="仿宋"/>
          <w:b w:val="0"/>
          <w:spacing w:val="-4"/>
          <w:sz w:val="32"/>
          <w:szCs w:val="32"/>
        </w:rPr>
        <w:t>《</w:t>
      </w: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tbl>
      <w:tblPr>
        <w:tblStyle w:val="4"/>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hint="eastAsia" w:ascii="仿宋" w:hAnsi="仿宋" w:eastAsia="仿宋" w:cs="仿宋"/>
                <w:b/>
                <w:bCs/>
                <w:kern w:val="0"/>
                <w:sz w:val="32"/>
                <w:szCs w:val="32"/>
              </w:rPr>
            </w:pPr>
            <w:r>
              <w:rPr>
                <w:rStyle w:val="6"/>
                <w:rFonts w:hint="eastAsia" w:ascii="仿宋" w:hAnsi="仿宋" w:eastAsia="仿宋" w:cs="仿宋"/>
                <w:b w:val="0"/>
                <w:spacing w:val="-4"/>
                <w:sz w:val="32"/>
                <w:szCs w:val="32"/>
                <w:lang w:eastAsia="zh-CN"/>
              </w:rPr>
              <w:t>若羌县瓦石峡镇</w:t>
            </w:r>
            <w:r>
              <w:rPr>
                <w:rStyle w:val="6"/>
                <w:rFonts w:hint="eastAsia" w:ascii="仿宋" w:hAnsi="仿宋" w:eastAsia="仿宋" w:cs="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val="en-US" w:eastAsia="zh-CN"/>
              </w:rPr>
              <w:t>2019</w:t>
            </w:r>
            <w:r>
              <w:rPr>
                <w:rFonts w:hint="eastAsia" w:ascii="仿宋" w:hAnsi="仿宋" w:eastAsia="仿宋" w:cs="仿宋"/>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仿宋"/>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仿宋"/>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仿宋"/>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仿宋"/>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仿宋"/>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仿宋"/>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hint="eastAsia" w:ascii="仿宋" w:hAnsi="仿宋" w:eastAsia="仿宋" w:cs="仿宋"/>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瓦石峡镇塔什萨依村防渗渠建设项目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预算</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执行</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情况</w:t>
            </w:r>
            <w:r>
              <w:rPr>
                <w:rFonts w:hint="eastAsia" w:ascii="仿宋" w:hAnsi="仿宋" w:eastAsia="仿宋" w:cs="仿宋"/>
                <w:kern w:val="0"/>
                <w:sz w:val="20"/>
                <w:szCs w:val="20"/>
              </w:rPr>
              <w:br w:type="textWrapping"/>
            </w:r>
            <w:r>
              <w:rPr>
                <w:rFonts w:hint="eastAsia" w:ascii="仿宋" w:hAnsi="仿宋" w:eastAsia="仿宋" w:cs="仿宋"/>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lang w:val="en-US" w:eastAsia="zh-CN"/>
              </w:rPr>
            </w:pPr>
            <w:r>
              <w:rPr>
                <w:rFonts w:hint="eastAsia" w:ascii="仿宋" w:hAnsi="仿宋" w:eastAsia="仿宋" w:cs="仿宋"/>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79.5</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79.5</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79.5</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79.5</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年度</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目标</w:t>
            </w:r>
            <w:r>
              <w:rPr>
                <w:rFonts w:hint="eastAsia" w:ascii="仿宋" w:hAnsi="仿宋" w:eastAsia="仿宋" w:cs="仿宋"/>
                <w:kern w:val="0"/>
                <w:sz w:val="20"/>
                <w:szCs w:val="20"/>
              </w:rPr>
              <w:br w:type="textWrapping"/>
            </w:r>
            <w:r>
              <w:rPr>
                <w:rFonts w:hint="eastAsia" w:ascii="仿宋" w:hAnsi="仿宋" w:eastAsia="仿宋" w:cs="仿宋"/>
                <w:kern w:val="0"/>
                <w:sz w:val="20"/>
                <w:szCs w:val="20"/>
              </w:rPr>
              <w:t>完成</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val="en-US" w:eastAsia="zh-CN"/>
              </w:rPr>
              <w:t>按照政府债券资金管理要求规范管理使用，于发行之日起3个月内将79.5万元资金使用完毕。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2019年</w:t>
            </w:r>
            <w:r>
              <w:rPr>
                <w:rFonts w:hint="eastAsia" w:ascii="仿宋" w:hAnsi="仿宋" w:eastAsia="仿宋" w:cs="仿宋"/>
                <w:kern w:val="0"/>
                <w:sz w:val="20"/>
                <w:szCs w:val="20"/>
                <w:lang w:val="en-US" w:eastAsia="zh-CN"/>
              </w:rPr>
              <w:t>11</w:t>
            </w:r>
            <w:r>
              <w:rPr>
                <w:rFonts w:hint="eastAsia" w:ascii="仿宋" w:hAnsi="仿宋" w:eastAsia="仿宋" w:cs="仿宋"/>
                <w:kern w:val="0"/>
                <w:sz w:val="20"/>
                <w:szCs w:val="20"/>
              </w:rPr>
              <w:t>月</w:t>
            </w:r>
            <w:r>
              <w:rPr>
                <w:rFonts w:hint="eastAsia" w:ascii="仿宋" w:hAnsi="仿宋" w:eastAsia="仿宋" w:cs="仿宋"/>
                <w:kern w:val="0"/>
                <w:sz w:val="20"/>
                <w:szCs w:val="20"/>
                <w:lang w:val="en-US" w:eastAsia="zh-CN"/>
              </w:rPr>
              <w:t>8</w:t>
            </w:r>
            <w:r>
              <w:rPr>
                <w:rFonts w:hint="eastAsia" w:ascii="仿宋" w:hAnsi="仿宋" w:eastAsia="仿宋" w:cs="仿宋"/>
                <w:kern w:val="0"/>
                <w:sz w:val="20"/>
                <w:szCs w:val="20"/>
              </w:rPr>
              <w:t>日前已将</w:t>
            </w:r>
            <w:r>
              <w:rPr>
                <w:rFonts w:hint="eastAsia" w:ascii="仿宋" w:hAnsi="仿宋" w:eastAsia="仿宋" w:cs="仿宋"/>
                <w:kern w:val="0"/>
                <w:sz w:val="20"/>
                <w:szCs w:val="20"/>
                <w:lang w:val="en-US" w:eastAsia="zh-CN"/>
              </w:rPr>
              <w:t>79.5</w:t>
            </w:r>
            <w:r>
              <w:rPr>
                <w:rFonts w:hint="eastAsia" w:ascii="仿宋" w:hAnsi="仿宋" w:eastAsia="仿宋" w:cs="仿宋"/>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年度</w:t>
            </w:r>
            <w:r>
              <w:rPr>
                <w:rFonts w:hint="eastAsia" w:ascii="仿宋" w:hAnsi="仿宋" w:eastAsia="仿宋" w:cs="仿宋"/>
                <w:kern w:val="0"/>
                <w:sz w:val="20"/>
                <w:szCs w:val="20"/>
              </w:rPr>
              <w:br w:type="textWrapping"/>
            </w:r>
            <w:r>
              <w:rPr>
                <w:rFonts w:hint="eastAsia" w:ascii="仿宋" w:hAnsi="仿宋" w:eastAsia="仿宋" w:cs="仿宋"/>
                <w:kern w:val="0"/>
                <w:sz w:val="20"/>
                <w:szCs w:val="20"/>
              </w:rPr>
              <w:t>绩效</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指标</w:t>
            </w:r>
            <w:r>
              <w:rPr>
                <w:rFonts w:hint="eastAsia" w:ascii="仿宋" w:hAnsi="仿宋" w:eastAsia="仿宋" w:cs="仿宋"/>
                <w:kern w:val="0"/>
                <w:sz w:val="20"/>
                <w:szCs w:val="20"/>
              </w:rPr>
              <w:br w:type="textWrapping"/>
            </w:r>
            <w:r>
              <w:rPr>
                <w:rFonts w:hint="eastAsia" w:ascii="仿宋" w:hAnsi="仿宋" w:eastAsia="仿宋" w:cs="仿宋"/>
                <w:kern w:val="0"/>
                <w:sz w:val="20"/>
                <w:szCs w:val="20"/>
              </w:rPr>
              <w:t>完成</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kern w:val="0"/>
                <w:sz w:val="20"/>
                <w:szCs w:val="20"/>
              </w:rPr>
            </w:pPr>
            <w:r>
              <w:rPr>
                <w:rFonts w:hint="eastAsia" w:ascii="仿宋" w:hAnsi="仿宋" w:eastAsia="仿宋" w:cs="仿宋"/>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新建U型防渗渠里程</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3000米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3000米</w:t>
            </w:r>
          </w:p>
        </w:tc>
      </w:tr>
      <w:tr>
        <w:tblPrEx>
          <w:tblLayout w:type="fixed"/>
          <w:tblCellMar>
            <w:top w:w="0" w:type="dxa"/>
            <w:left w:w="108" w:type="dxa"/>
            <w:bottom w:w="0" w:type="dxa"/>
            <w:right w:w="108" w:type="dxa"/>
          </w:tblCellMar>
        </w:tblPrEx>
        <w:trPr>
          <w:trHeight w:val="33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渠道防渗设计流量</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0.15m³/s</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0.15m³/s</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restart"/>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kern w:val="0"/>
                <w:sz w:val="20"/>
                <w:szCs w:val="20"/>
              </w:rPr>
            </w:pPr>
            <w:r>
              <w:rPr>
                <w:rFonts w:hint="eastAsia" w:ascii="仿宋" w:hAnsi="仿宋" w:eastAsia="仿宋" w:cs="仿宋"/>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85％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85％</w:t>
            </w:r>
          </w:p>
        </w:tc>
      </w:tr>
      <w:tr>
        <w:tblPrEx>
          <w:tblLayout w:type="fixed"/>
          <w:tblCellMar>
            <w:top w:w="0" w:type="dxa"/>
            <w:left w:w="108" w:type="dxa"/>
            <w:bottom w:w="0" w:type="dxa"/>
            <w:right w:w="108" w:type="dxa"/>
          </w:tblCellMar>
        </w:tblPrEx>
        <w:trPr>
          <w:trHeight w:val="64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渠道采用C20 W4F150混凝土打造</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渠道壁厚度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6cm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6cm</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渠道宽度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≥0.64cm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≥0.64cm</w:t>
            </w:r>
          </w:p>
        </w:tc>
      </w:tr>
      <w:tr>
        <w:tblPrEx>
          <w:tblLayout w:type="fixed"/>
          <w:tblCellMar>
            <w:top w:w="0" w:type="dxa"/>
            <w:left w:w="108" w:type="dxa"/>
            <w:bottom w:w="0" w:type="dxa"/>
            <w:right w:w="108" w:type="dxa"/>
          </w:tblCellMar>
        </w:tblPrEx>
        <w:trPr>
          <w:trHeight w:val="38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continue"/>
            <w:tcBorders>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渠道深度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≥0.5cm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≥0.5cm</w:t>
            </w:r>
          </w:p>
        </w:tc>
      </w:tr>
      <w:tr>
        <w:tblPrEx>
          <w:tblLayout w:type="fixed"/>
          <w:tblCellMar>
            <w:top w:w="0" w:type="dxa"/>
            <w:left w:w="108" w:type="dxa"/>
            <w:bottom w:w="0" w:type="dxa"/>
            <w:right w:w="108" w:type="dxa"/>
          </w:tblCellMar>
        </w:tblPrEx>
        <w:trPr>
          <w:trHeight w:val="9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continue"/>
            <w:tcBorders>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渠道下方铺设砂砾石防冻层厚度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≥200mm</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≥200mm</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kern w:val="0"/>
                <w:sz w:val="20"/>
                <w:szCs w:val="20"/>
              </w:rPr>
            </w:pPr>
            <w:r>
              <w:rPr>
                <w:rFonts w:hint="eastAsia" w:ascii="仿宋" w:hAnsi="仿宋" w:eastAsia="仿宋" w:cs="仿宋"/>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hint="eastAsia" w:ascii="仿宋" w:hAnsi="仿宋" w:eastAsia="仿宋" w:cs="仿宋"/>
                <w:kern w:val="0"/>
                <w:sz w:val="20"/>
                <w:szCs w:val="20"/>
              </w:rPr>
            </w:pPr>
            <w:r>
              <w:rPr>
                <w:rFonts w:hint="eastAsia" w:ascii="仿宋" w:hAnsi="仿宋" w:eastAsia="仿宋" w:cs="仿宋"/>
              </w:rPr>
              <w:t>2019年6月30日前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hint="eastAsia" w:ascii="仿宋" w:hAnsi="仿宋" w:eastAsia="仿宋" w:cs="仿宋"/>
                <w:kern w:val="0"/>
                <w:sz w:val="20"/>
                <w:szCs w:val="20"/>
              </w:rPr>
            </w:pPr>
            <w:r>
              <w:rPr>
                <w:rFonts w:hint="eastAsia" w:ascii="仿宋" w:hAnsi="仿宋" w:eastAsia="仿宋" w:cs="仿宋"/>
              </w:rPr>
              <w:t>2019年6月30日前</w:t>
            </w:r>
          </w:p>
        </w:tc>
      </w:tr>
      <w:tr>
        <w:tblPrEx>
          <w:tblLayout w:type="fixed"/>
          <w:tblCellMar>
            <w:top w:w="0" w:type="dxa"/>
            <w:left w:w="108" w:type="dxa"/>
            <w:bottom w:w="0" w:type="dxa"/>
            <w:right w:w="108" w:type="dxa"/>
          </w:tblCellMar>
        </w:tblPrEx>
        <w:trPr>
          <w:trHeight w:val="20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100%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100%</w:t>
            </w:r>
          </w:p>
        </w:tc>
      </w:tr>
      <w:tr>
        <w:tblPrEx>
          <w:tblLayout w:type="fixed"/>
          <w:tblCellMar>
            <w:top w:w="0" w:type="dxa"/>
            <w:left w:w="108" w:type="dxa"/>
            <w:bottom w:w="0" w:type="dxa"/>
            <w:right w:w="108" w:type="dxa"/>
          </w:tblCellMar>
        </w:tblPrEx>
        <w:trPr>
          <w:trHeight w:val="447"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kern w:val="0"/>
                <w:sz w:val="20"/>
                <w:szCs w:val="20"/>
              </w:rPr>
            </w:pPr>
            <w:r>
              <w:rPr>
                <w:rFonts w:hint="eastAsia" w:ascii="仿宋" w:hAnsi="仿宋" w:eastAsia="仿宋" w:cs="仿宋"/>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防渗渠每公里建设成本</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lang w:val="en-US" w:eastAsia="zh-CN"/>
              </w:rPr>
              <w:t>20.2</w:t>
            </w:r>
            <w:r>
              <w:rPr>
                <w:rFonts w:hint="eastAsia" w:ascii="仿宋" w:hAnsi="仿宋" w:eastAsia="仿宋" w:cs="仿宋"/>
                <w:kern w:val="0"/>
                <w:sz w:val="20"/>
                <w:szCs w:val="20"/>
              </w:rPr>
              <w:t>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lang w:val="en-US" w:eastAsia="zh-CN"/>
              </w:rPr>
              <w:t>20.2</w:t>
            </w:r>
            <w:r>
              <w:rPr>
                <w:rFonts w:hint="eastAsia" w:ascii="仿宋" w:hAnsi="仿宋" w:eastAsia="仿宋" w:cs="仿宋"/>
                <w:kern w:val="0"/>
                <w:sz w:val="20"/>
                <w:szCs w:val="20"/>
              </w:rPr>
              <w:t>万元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kern w:val="0"/>
                <w:sz w:val="20"/>
                <w:szCs w:val="20"/>
              </w:rPr>
            </w:pPr>
            <w:r>
              <w:rPr>
                <w:rFonts w:hint="eastAsia" w:ascii="仿宋" w:hAnsi="仿宋" w:eastAsia="仿宋" w:cs="仿宋"/>
                <w:kern w:val="0"/>
                <w:sz w:val="20"/>
                <w:szCs w:val="20"/>
              </w:rPr>
              <w:t>经济效益</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改善带动农业亩均产量增加</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≥100公斤</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≥100公斤</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kern w:val="0"/>
                <w:sz w:val="20"/>
                <w:szCs w:val="20"/>
              </w:rPr>
            </w:pPr>
            <w:r>
              <w:rPr>
                <w:rFonts w:hint="eastAsia" w:ascii="仿宋" w:hAnsi="仿宋" w:eastAsia="仿宋" w:cs="仿宋"/>
                <w:kern w:val="0"/>
                <w:sz w:val="20"/>
                <w:szCs w:val="20"/>
              </w:rPr>
              <w:t>社会效益</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新增和改善灌溉面积</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≥400亩</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≥400亩</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11户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11户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kern w:val="0"/>
                <w:sz w:val="20"/>
                <w:szCs w:val="20"/>
              </w:rPr>
            </w:pPr>
            <w:r>
              <w:rPr>
                <w:rFonts w:hint="eastAsia" w:ascii="仿宋" w:hAnsi="仿宋" w:eastAsia="仿宋" w:cs="仿宋"/>
                <w:kern w:val="0"/>
                <w:sz w:val="20"/>
                <w:szCs w:val="20"/>
              </w:rPr>
              <w:t>生态效益</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有效节约农业生产用水，提高水资源利用率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8.5％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8.5％</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kern w:val="0"/>
                <w:sz w:val="20"/>
                <w:szCs w:val="20"/>
              </w:rPr>
            </w:pPr>
            <w:r>
              <w:rPr>
                <w:rFonts w:hint="eastAsia" w:ascii="仿宋" w:hAnsi="仿宋" w:eastAsia="仿宋" w:cs="仿宋"/>
                <w:kern w:val="0"/>
                <w:sz w:val="20"/>
                <w:szCs w:val="20"/>
              </w:rPr>
              <w:t>可持续影响</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15年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lang w:eastAsia="zh-CN"/>
              </w:rPr>
              <w:t>≥</w:t>
            </w:r>
            <w:r>
              <w:rPr>
                <w:rFonts w:hint="eastAsia" w:ascii="仿宋" w:hAnsi="仿宋" w:eastAsia="仿宋" w:cs="仿宋"/>
                <w:kern w:val="0"/>
                <w:sz w:val="20"/>
                <w:szCs w:val="20"/>
              </w:rPr>
              <w:t>15年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解决贫困村农田灌溉用水难的问题，提高农业生产效率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满意度</w:t>
            </w:r>
            <w:r>
              <w:rPr>
                <w:rFonts w:hint="eastAsia" w:ascii="仿宋" w:hAnsi="仿宋" w:eastAsia="仿宋" w:cs="仿宋"/>
                <w:kern w:val="0"/>
                <w:sz w:val="20"/>
                <w:szCs w:val="20"/>
              </w:rPr>
              <w:br w:type="textWrapping"/>
            </w:r>
            <w:r>
              <w:rPr>
                <w:rFonts w:hint="eastAsia" w:ascii="仿宋" w:hAnsi="仿宋" w:eastAsia="仿宋" w:cs="仿宋"/>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kern w:val="0"/>
                <w:sz w:val="20"/>
                <w:szCs w:val="20"/>
              </w:rPr>
            </w:pPr>
            <w:r>
              <w:rPr>
                <w:rFonts w:hint="eastAsia" w:ascii="仿宋" w:hAnsi="仿宋" w:eastAsia="仿宋" w:cs="仿宋"/>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≥95％</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≥90％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eastAsia" w:ascii="仿宋" w:hAnsi="仿宋" w:eastAsia="仿宋" w:cs="仿宋"/>
                <w:kern w:val="0"/>
                <w:sz w:val="20"/>
                <w:szCs w:val="20"/>
              </w:rPr>
            </w:pPr>
            <w:r>
              <w:rPr>
                <w:rFonts w:hint="eastAsia" w:ascii="仿宋" w:hAnsi="仿宋" w:eastAsia="仿宋" w:cs="仿宋"/>
                <w:kern w:val="0"/>
                <w:sz w:val="20"/>
                <w:szCs w:val="20"/>
              </w:rPr>
              <w:t>≥90％</w:t>
            </w:r>
          </w:p>
        </w:tc>
      </w:tr>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6"/>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046F60"/>
    <w:rsid w:val="171D01E4"/>
    <w:rsid w:val="1BF87143"/>
    <w:rsid w:val="260534C6"/>
    <w:rsid w:val="32A51E7B"/>
    <w:rsid w:val="4949310C"/>
    <w:rsid w:val="62046F60"/>
    <w:rsid w:val="73776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Indent"/>
    <w:basedOn w:val="1"/>
    <w:qFormat/>
    <w:uiPriority w:val="0"/>
    <w:pPr>
      <w:ind w:firstLine="630" w:firstLineChars="210"/>
    </w:pPr>
    <w:rPr>
      <w:sz w:val="30"/>
      <w:lang w:val="en-US" w:eastAsia="zh-CN" w:bidi="ar-SA"/>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2019-11-07T09:53:00Z</dcterms:created>
  <dc:creator>Administrator</dc:creator>
  <cp:lastModifiedBy>Administrator</cp:lastModifiedBy>
  <dcterms:modified xsi:type="dcterms:W3CDTF">2019-11-09T03:04:27Z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