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kern w:val="0"/>
          <w:sz w:val="36"/>
          <w:szCs w:val="36"/>
          <w:lang w:eastAsia="zh-CN"/>
        </w:rPr>
        <w:t>瓦石峡镇新建村防渗渠建设项目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Style w:val="6"/>
          <w:rFonts w:hint="eastAsia" w:ascii="黑体" w:hAnsi="黑体" w:eastAsia="黑体"/>
          <w:b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（二）项目预算绩效目标设定情况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36.4</w:t>
      </w:r>
      <w:r>
        <w:rPr>
          <w:rFonts w:hint="eastAsia" w:ascii="仿宋" w:hAnsi="仿宋" w:eastAsia="仿宋" w:cs="仿宋"/>
          <w:sz w:val="32"/>
          <w:szCs w:val="32"/>
        </w:rPr>
        <w:t>万元，建设防渗渠1.8公里，农渠断面型式采用50U型断面（设计渠深0.5m，口宽0.64m，壁厚6cm，涉及流量0.15m3/s），计划铺设50U型C20砼板1.8公里，单位造价170元/m，计划投资30.6万元；计划投资5.8万元新建配套桥涵闸等设施，合计投资36.4万元。2.主要目标任务：该项目实施可使用贫困户和其他村民耕地能够使用地表水，促进贫困户增收步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36.4</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2019年度中央提前告知财政专项扶贫资金。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瓦石峡镇新建村防渗渠建设项目。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月建设新建村防渗渠</w:t>
      </w:r>
      <w:r>
        <w:rPr>
          <w:rFonts w:hint="eastAsia" w:ascii="仿宋" w:hAnsi="仿宋" w:eastAsia="仿宋" w:cs="仿宋"/>
          <w:sz w:val="32"/>
          <w:szCs w:val="32"/>
          <w:lang w:val="en-US" w:eastAsia="zh-CN"/>
        </w:rPr>
        <w:t>1.8</w:t>
      </w:r>
      <w:r>
        <w:rPr>
          <w:rFonts w:hint="eastAsia" w:ascii="仿宋" w:hAnsi="仿宋" w:eastAsia="仿宋" w:cs="仿宋"/>
          <w:sz w:val="32"/>
          <w:szCs w:val="32"/>
          <w:lang w:eastAsia="zh-CN"/>
        </w:rPr>
        <w:t>公里。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日，由若羌县扶贫开发领导小组牵头组织水利局等部门组成验收组对该项目进行验收。验收组一行通过查阅资料档案、实地查看工程建设情况一致同意该项目等级为合格，通过验收。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rPr>
      </w:pPr>
      <w:r>
        <w:rPr>
          <w:rStyle w:val="6"/>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24" w:firstLineChars="200"/>
        <w:jc w:val="both"/>
        <w:textAlignment w:val="auto"/>
        <w:outlineLvl w:val="9"/>
        <w:rPr>
          <w:rFonts w:hint="eastAsia" w:ascii="仿宋" w:hAnsi="仿宋" w:eastAsia="仿宋" w:cs="仿宋"/>
          <w:sz w:val="32"/>
          <w:lang w:val="en-US" w:eastAsia="zh-CN"/>
        </w:rPr>
      </w:pPr>
      <w:r>
        <w:rPr>
          <w:rStyle w:val="6"/>
          <w:rFonts w:hint="eastAsia" w:ascii="仿宋" w:hAnsi="仿宋" w:eastAsia="仿宋" w:cs="仿宋"/>
          <w:b w:val="0"/>
          <w:spacing w:val="-4"/>
          <w:sz w:val="32"/>
          <w:szCs w:val="32"/>
        </w:rPr>
        <w:t>2019年</w:t>
      </w:r>
      <w:r>
        <w:rPr>
          <w:rStyle w:val="6"/>
          <w:rFonts w:hint="eastAsia" w:ascii="仿宋" w:hAnsi="仿宋" w:eastAsia="仿宋" w:cs="仿宋"/>
          <w:b w:val="0"/>
          <w:spacing w:val="-4"/>
          <w:sz w:val="32"/>
          <w:szCs w:val="32"/>
          <w:lang w:val="en-US" w:eastAsia="zh-CN"/>
        </w:rPr>
        <w:t>8</w:t>
      </w:r>
      <w:r>
        <w:rPr>
          <w:rStyle w:val="6"/>
          <w:rFonts w:hint="eastAsia" w:ascii="仿宋" w:hAnsi="仿宋" w:eastAsia="仿宋" w:cs="仿宋"/>
          <w:b w:val="0"/>
          <w:spacing w:val="-4"/>
          <w:sz w:val="32"/>
          <w:szCs w:val="32"/>
        </w:rPr>
        <w:t>月</w:t>
      </w:r>
      <w:r>
        <w:rPr>
          <w:rStyle w:val="6"/>
          <w:rFonts w:hint="eastAsia" w:ascii="仿宋" w:hAnsi="仿宋" w:eastAsia="仿宋" w:cs="仿宋"/>
          <w:b w:val="0"/>
          <w:spacing w:val="-4"/>
          <w:sz w:val="32"/>
          <w:szCs w:val="32"/>
          <w:lang w:val="en-US" w:eastAsia="zh-CN"/>
        </w:rPr>
        <w:t>6</w:t>
      </w:r>
      <w:r>
        <w:rPr>
          <w:rStyle w:val="6"/>
          <w:rFonts w:hint="eastAsia" w:ascii="仿宋" w:hAnsi="仿宋" w:eastAsia="仿宋" w:cs="仿宋"/>
          <w:b w:val="0"/>
          <w:spacing w:val="-4"/>
          <w:sz w:val="32"/>
          <w:szCs w:val="32"/>
        </w:rPr>
        <w:t>日前已</w:t>
      </w:r>
      <w:r>
        <w:rPr>
          <w:rStyle w:val="6"/>
          <w:rFonts w:hint="eastAsia" w:ascii="仿宋" w:hAnsi="仿宋" w:eastAsia="仿宋" w:cs="仿宋"/>
          <w:b w:val="0"/>
          <w:spacing w:val="-4"/>
          <w:sz w:val="32"/>
          <w:szCs w:val="32"/>
          <w:lang w:eastAsia="zh-CN"/>
        </w:rPr>
        <w:t>按照项目计划完成，</w:t>
      </w:r>
      <w:r>
        <w:rPr>
          <w:rFonts w:hint="eastAsia" w:ascii="仿宋" w:hAnsi="仿宋" w:eastAsia="仿宋" w:cs="仿宋"/>
          <w:kern w:val="2"/>
          <w:sz w:val="32"/>
          <w:szCs w:val="24"/>
          <w:lang w:val="en-US" w:eastAsia="zh-CN" w:bidi="ar-SA"/>
        </w:rPr>
        <w:t>该项目建成后</w:t>
      </w:r>
      <w:r>
        <w:rPr>
          <w:rFonts w:hint="eastAsia" w:ascii="方正仿宋_GBK" w:hAnsi="方正仿宋_GBK" w:eastAsia="方正仿宋_GBK" w:cs="方正仿宋_GBK"/>
          <w:sz w:val="32"/>
          <w:lang w:val="en-US" w:eastAsia="zh-CN"/>
        </w:rPr>
        <w:t>，贫困户地引水用的1.8公里渠道修防渗渠，项目实施后贫困户可使用地表水，促进贫困户增收步伐，有效的推动了新建村贫困户农业生产积极性。</w:t>
      </w:r>
      <w:r>
        <w:rPr>
          <w:rFonts w:hint="eastAsia" w:ascii="仿宋" w:hAnsi="仿宋" w:eastAsia="仿宋" w:cs="仿宋"/>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6"/>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6"/>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6"/>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1、</w:t>
      </w:r>
      <w:r>
        <w:rPr>
          <w:rStyle w:val="6"/>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bCs w:val="0"/>
          <w:spacing w:val="-4"/>
          <w:sz w:val="32"/>
          <w:szCs w:val="32"/>
          <w:lang w:val="en-US" w:eastAsia="zh-CN"/>
        </w:rPr>
      </w:pPr>
      <w:r>
        <w:rPr>
          <w:rStyle w:val="6"/>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2、</w:t>
      </w:r>
      <w:r>
        <w:rPr>
          <w:rStyle w:val="6"/>
          <w:rFonts w:hint="eastAsia" w:ascii="仿宋" w:hAnsi="仿宋" w:eastAsia="仿宋" w:cs="仿宋"/>
          <w:b/>
          <w:bCs w:val="0"/>
          <w:spacing w:val="-4"/>
          <w:sz w:val="32"/>
          <w:szCs w:val="32"/>
          <w:lang w:eastAsia="zh-CN"/>
        </w:rPr>
        <w:t>对项目法人的建</w:t>
      </w:r>
      <w:r>
        <w:rPr>
          <w:rStyle w:val="6"/>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val="en-US" w:eastAsia="zh-CN"/>
        </w:rPr>
      </w:pPr>
      <w:r>
        <w:rPr>
          <w:rStyle w:val="6"/>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w:t>
      </w:r>
      <w:r>
        <w:rPr>
          <w:rStyle w:val="6"/>
          <w:rFonts w:hint="eastAsia" w:ascii="仿宋" w:hAnsi="仿宋" w:eastAsia="仿宋" w:cs="仿宋"/>
          <w:b w:val="0"/>
          <w:spacing w:val="-4"/>
          <w:sz w:val="32"/>
          <w:szCs w:val="32"/>
          <w:lang w:eastAsia="zh-CN"/>
        </w:rPr>
        <w:t>若羌县瓦石峡镇</w:t>
      </w:r>
      <w:r>
        <w:rPr>
          <w:rStyle w:val="6"/>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tbl>
      <w:tblPr>
        <w:tblStyle w:val="4"/>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bookmarkStart w:id="0" w:name="_GoBack"/>
            <w:r>
              <w:rPr>
                <w:rStyle w:val="6"/>
                <w:rFonts w:hint="eastAsia" w:ascii="仿宋" w:hAnsi="仿宋" w:eastAsia="仿宋"/>
                <w:b w:val="0"/>
                <w:spacing w:val="-4"/>
                <w:sz w:val="32"/>
                <w:szCs w:val="32"/>
                <w:lang w:eastAsia="zh-CN"/>
              </w:rPr>
              <w:t>若羌县瓦石峡镇</w:t>
            </w:r>
            <w:r>
              <w:rPr>
                <w:rStyle w:val="6"/>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新建</w:t>
            </w:r>
            <w:r>
              <w:rPr>
                <w:rFonts w:hint="eastAsia" w:ascii="宋体" w:hAnsi="宋体" w:cs="宋体"/>
                <w:kern w:val="0"/>
                <w:sz w:val="20"/>
                <w:szCs w:val="20"/>
              </w:rPr>
              <w:t>村防渗渠建设项目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36.4</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36.4</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36.4</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36.4</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按照政府债券资金管理要求规范管理使用，于发行之日起3个月内将36.4万元资金使用完毕。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eastAsiaTheme="minorEastAsia"/>
                <w:kern w:val="0"/>
                <w:sz w:val="20"/>
                <w:szCs w:val="20"/>
                <w:lang w:val="en-US" w:eastAsia="zh-CN"/>
              </w:rPr>
              <w:t>36.4</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新建U型防渗渠里程</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≥1800米</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≥1800米</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渠道防渗设计流量</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rPr>
              <w:t>0.15m³/s</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rPr>
              <w:t>0.15m³/s</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rPr>
              <w:t>85％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rPr>
              <w:t>85％</w:t>
            </w:r>
          </w:p>
        </w:tc>
      </w:tr>
      <w:tr>
        <w:tblPrEx>
          <w:tblLayout w:type="fixed"/>
          <w:tblCellMar>
            <w:top w:w="0" w:type="dxa"/>
            <w:left w:w="108" w:type="dxa"/>
            <w:bottom w:w="0" w:type="dxa"/>
            <w:right w:w="108" w:type="dxa"/>
          </w:tblCellMar>
        </w:tblPrEx>
        <w:trPr>
          <w:trHeight w:val="64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 xml:space="preserve"> 渠道采用C20 W4F150混凝土打造</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渠道壁厚度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rPr>
              <w:t>6cm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rPr>
              <w:t>6cm</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rPr>
              <w:t>渠道宽度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≥0.64cm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lang w:eastAsia="zh-CN"/>
              </w:rPr>
              <w:t>≥0.64cm</w:t>
            </w:r>
          </w:p>
        </w:tc>
      </w:tr>
      <w:tr>
        <w:tblPrEx>
          <w:tblLayout w:type="fixed"/>
          <w:tblCellMar>
            <w:top w:w="0" w:type="dxa"/>
            <w:left w:w="108" w:type="dxa"/>
            <w:bottom w:w="0" w:type="dxa"/>
            <w:right w:w="108" w:type="dxa"/>
          </w:tblCellMar>
        </w:tblPrEx>
        <w:trPr>
          <w:trHeight w:val="38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rPr>
              <w:t>渠道深度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≥0.5cm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≥0.5cm</w:t>
            </w:r>
          </w:p>
        </w:tc>
      </w:tr>
      <w:tr>
        <w:tblPrEx>
          <w:tblLayout w:type="fixed"/>
          <w:tblCellMar>
            <w:top w:w="0" w:type="dxa"/>
            <w:left w:w="108" w:type="dxa"/>
            <w:bottom w:w="0" w:type="dxa"/>
            <w:right w:w="108" w:type="dxa"/>
          </w:tblCellMar>
        </w:tblPrEx>
        <w:trPr>
          <w:trHeight w:val="9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rPr>
              <w:t>渠道下方铺设砂砾石防冻层厚度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≥200mm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lang w:eastAsia="zh-CN"/>
              </w:rPr>
            </w:pPr>
            <w:r>
              <w:rPr>
                <w:rFonts w:hint="eastAsia" w:ascii="宋体" w:hAnsi="宋体" w:cs="宋体"/>
                <w:kern w:val="0"/>
                <w:sz w:val="20"/>
                <w:szCs w:val="20"/>
                <w:lang w:eastAsia="zh-CN"/>
              </w:rPr>
              <w:t>≥200mm</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2019年6月30日前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2019年6月30日前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项目期限内工程量完成率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防渗渠每公里建设成本</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20.2</w:t>
            </w:r>
            <w:r>
              <w:rPr>
                <w:rFonts w:hint="eastAsia" w:ascii="宋体" w:hAnsi="宋体" w:cs="宋体"/>
                <w:kern w:val="0"/>
                <w:sz w:val="20"/>
                <w:szCs w:val="20"/>
              </w:rPr>
              <w:t>万元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20.2</w:t>
            </w:r>
            <w:r>
              <w:rPr>
                <w:rFonts w:hint="eastAsia" w:ascii="宋体" w:hAnsi="宋体" w:cs="宋体"/>
                <w:kern w:val="0"/>
                <w:sz w:val="20"/>
                <w:szCs w:val="20"/>
              </w:rPr>
              <w:t>万元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改善带动农业亩均产量增加</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rPr>
              <w:t>100公斤</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rPr>
              <w:t>100公斤</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新增和改善灌溉面积</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255</w:t>
            </w:r>
            <w:r>
              <w:rPr>
                <w:rFonts w:hint="eastAsia" w:ascii="宋体" w:hAnsi="宋体" w:cs="宋体"/>
                <w:kern w:val="0"/>
                <w:sz w:val="20"/>
                <w:szCs w:val="20"/>
              </w:rPr>
              <w:t>亩</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255</w:t>
            </w:r>
            <w:r>
              <w:rPr>
                <w:rFonts w:hint="eastAsia" w:ascii="宋体" w:hAnsi="宋体" w:cs="宋体"/>
                <w:kern w:val="0"/>
                <w:sz w:val="20"/>
                <w:szCs w:val="20"/>
              </w:rPr>
              <w:t>亩</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1</w:t>
            </w:r>
            <w:r>
              <w:rPr>
                <w:rFonts w:hint="eastAsia" w:ascii="宋体" w:hAnsi="宋体" w:cs="宋体"/>
                <w:kern w:val="0"/>
                <w:sz w:val="20"/>
                <w:szCs w:val="20"/>
                <w:lang w:val="en-US" w:eastAsia="zh-CN"/>
              </w:rPr>
              <w:t>0</w:t>
            </w:r>
            <w:r>
              <w:rPr>
                <w:rFonts w:hint="eastAsia" w:ascii="宋体" w:hAnsi="宋体" w:cs="宋体"/>
                <w:kern w:val="0"/>
                <w:sz w:val="20"/>
                <w:szCs w:val="20"/>
              </w:rPr>
              <w:t>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1</w:t>
            </w:r>
            <w:r>
              <w:rPr>
                <w:rFonts w:hint="eastAsia" w:ascii="宋体" w:hAnsi="宋体" w:cs="宋体"/>
                <w:kern w:val="0"/>
                <w:sz w:val="20"/>
                <w:szCs w:val="20"/>
                <w:lang w:val="en-US" w:eastAsia="zh-CN"/>
              </w:rPr>
              <w:t>0</w:t>
            </w:r>
            <w:r>
              <w:rPr>
                <w:rFonts w:hint="eastAsia" w:ascii="宋体" w:hAnsi="宋体" w:cs="宋体"/>
                <w:kern w:val="0"/>
                <w:sz w:val="20"/>
                <w:szCs w:val="20"/>
              </w:rPr>
              <w:t>户</w:t>
            </w:r>
          </w:p>
        </w:tc>
      </w:tr>
      <w:tr>
        <w:tblPrEx>
          <w:tblLayout w:type="fixed"/>
          <w:tblCellMar>
            <w:top w:w="0" w:type="dxa"/>
            <w:left w:w="108" w:type="dxa"/>
            <w:bottom w:w="0" w:type="dxa"/>
            <w:right w:w="108" w:type="dxa"/>
          </w:tblCellMar>
        </w:tblPrEx>
        <w:trPr>
          <w:trHeight w:val="62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有效节约农业生产用水，提高水资源利用率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rPr>
              <w:t>8.5％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rPr>
              <w:t>8.5％</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rPr>
              <w:t>15年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rPr>
              <w:t>15年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解决贫困村农田灌溉用水难的问题，提高农业生产效率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≥95％</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贫困村群众对项目实施情况满意度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≥90％</w:t>
            </w:r>
          </w:p>
        </w:tc>
      </w:tr>
    </w:tbl>
    <w:p>
      <w:pPr>
        <w:keepNext w:val="0"/>
        <w:keepLines w:val="0"/>
        <w:pageBreakBefore w:val="0"/>
        <w:kinsoku/>
        <w:wordWrap/>
        <w:overflowPunct/>
        <w:topLinePunct w:val="0"/>
        <w:autoSpaceDE/>
        <w:autoSpaceDN/>
        <w:bidi w:val="0"/>
        <w:adjustRightInd/>
        <w:snapToGrid/>
        <w:spacing w:line="240" w:lineRule="auto"/>
        <w:ind w:firstLine="624" w:firstLineChars="200"/>
        <w:textAlignment w:val="auto"/>
        <w:rPr>
          <w:rStyle w:val="6"/>
          <w:rFonts w:ascii="仿宋" w:hAnsi="仿宋" w:eastAsia="仿宋"/>
          <w:b w:val="0"/>
          <w:spacing w:val="-4"/>
          <w:sz w:val="32"/>
          <w:szCs w:val="32"/>
        </w:rPr>
      </w:pPr>
    </w:p>
    <w:bookmarkEnd w:id="0"/>
    <w:p>
      <w:pPr>
        <w:keepNext w:val="0"/>
        <w:keepLines w:val="0"/>
        <w:pageBreakBefore w:val="0"/>
        <w:kinsoku/>
        <w:wordWrap/>
        <w:overflowPunct/>
        <w:topLinePunct w:val="0"/>
        <w:autoSpaceDE/>
        <w:autoSpaceDN/>
        <w:bidi w:val="0"/>
        <w:adjustRightInd/>
        <w:snapToGrid/>
        <w:spacing w:line="560" w:lineRule="exact"/>
        <w:ind w:firstLine="420" w:firstLineChars="200"/>
        <w:textAlignment w:val="auto"/>
      </w:pPr>
    </w:p>
    <w:p>
      <w:pPr>
        <w:keepNext w:val="0"/>
        <w:keepLines w:val="0"/>
        <w:pageBreakBefore w:val="0"/>
        <w:kinsoku/>
        <w:wordWrap/>
        <w:overflowPunct/>
        <w:topLinePunct w:val="0"/>
        <w:autoSpaceDE/>
        <w:autoSpaceDN/>
        <w:bidi w:val="0"/>
        <w:adjustRightInd/>
        <w:snapToGrid/>
        <w:spacing w:line="560" w:lineRule="exact"/>
        <w:ind w:firstLine="420" w:firstLineChars="200"/>
        <w:textAlignment w:val="auto"/>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B2CC6"/>
    <w:rsid w:val="136B2CC6"/>
    <w:rsid w:val="25F43E6F"/>
    <w:rsid w:val="3FCF4763"/>
    <w:rsid w:val="62CE5D72"/>
    <w:rsid w:val="74D86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firstLine="630" w:firstLineChars="210"/>
    </w:pPr>
    <w:rPr>
      <w:sz w:val="30"/>
      <w:lang w:val="en-US" w:eastAsia="zh-CN" w:bidi="ar-SA"/>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2019-11-07T10:23:00Z</dcterms:created>
  <dc:creator>Administrator</dc:creator>
  <cp:lastModifiedBy>Administrator</cp:lastModifiedBy>
  <dcterms:modified xsi:type="dcterms:W3CDTF">2019-11-09T03:00:02Z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