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both"/>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若羌县财政扶贫项目支出绩效自评报告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700" w:lineRule="exact"/>
        <w:jc w:val="left"/>
        <w:rPr>
          <w:rFonts w:hint="eastAsia" w:ascii="Times New Roman" w:hAnsi="宋体" w:eastAsia="仿宋_GB2312" w:cs="宋体"/>
          <w:kern w:val="0"/>
          <w:sz w:val="36"/>
          <w:szCs w:val="36"/>
          <w:lang w:val="en-US" w:eastAsia="zh-CN"/>
        </w:rPr>
      </w:pPr>
      <w:r>
        <w:rPr>
          <w:rFonts w:hint="eastAsia" w:hAnsi="宋体" w:eastAsia="仿宋_GB2312" w:cs="宋体"/>
          <w:kern w:val="0"/>
          <w:sz w:val="36"/>
          <w:szCs w:val="36"/>
        </w:rPr>
        <w:t>项目名称：</w:t>
      </w:r>
      <w:r>
        <w:rPr>
          <w:rFonts w:hint="eastAsia" w:hAnsi="宋体" w:eastAsia="仿宋_GB2312" w:cs="宋体"/>
          <w:kern w:val="0"/>
          <w:sz w:val="36"/>
          <w:szCs w:val="36"/>
          <w:lang w:val="en-US" w:eastAsia="zh-CN"/>
        </w:rPr>
        <w:t>54万元购买27头疆内良种肉牛（黑星）</w:t>
      </w:r>
    </w:p>
    <w:p>
      <w:pPr>
        <w:spacing w:line="700" w:lineRule="exact"/>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实施单位（公章）：</w:t>
      </w:r>
      <w:r>
        <w:rPr>
          <w:rFonts w:hint="eastAsia" w:hAnsi="宋体" w:eastAsia="仿宋_GB2312" w:cs="宋体"/>
          <w:kern w:val="0"/>
          <w:sz w:val="36"/>
          <w:szCs w:val="36"/>
          <w:lang w:val="en-US" w:eastAsia="zh-CN"/>
        </w:rPr>
        <w:t>祁曼塔格村村民委员会</w:t>
      </w:r>
    </w:p>
    <w:p>
      <w:pPr>
        <w:spacing w:line="700" w:lineRule="exact"/>
        <w:jc w:val="left"/>
        <w:rPr>
          <w:rFonts w:hint="eastAsia" w:hAnsi="宋体" w:eastAsia="仿宋_GB2312" w:cs="宋体"/>
          <w:kern w:val="0"/>
          <w:sz w:val="36"/>
          <w:szCs w:val="36"/>
        </w:rPr>
      </w:pPr>
    </w:p>
    <w:p>
      <w:pPr>
        <w:spacing w:line="700" w:lineRule="exact"/>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祁曼塔格乡人民政府</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项目负责人（签章）：玉素甫·艾麦尔</w:t>
      </w:r>
    </w:p>
    <w:p>
      <w:pPr>
        <w:spacing w:line="700" w:lineRule="exact"/>
        <w:jc w:val="left"/>
        <w:rPr>
          <w:rFonts w:hint="eastAsia" w:hAnsi="宋体" w:eastAsia="仿宋_GB2312" w:cs="宋体"/>
          <w:kern w:val="0"/>
          <w:sz w:val="36"/>
          <w:szCs w:val="36"/>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 xml:space="preserve">  2019 </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10</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 xml:space="preserve"> 28 </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widowControl/>
        <w:ind w:firstLine="640" w:firstLineChars="200"/>
        <w:rPr>
          <w:rFonts w:hint="eastAsia" w:ascii="仿宋_GB2312" w:hAnsi="宋体" w:eastAsia="仿宋_GB2312"/>
          <w:sz w:val="32"/>
        </w:rPr>
      </w:pPr>
      <w:r>
        <w:rPr>
          <w:rFonts w:hint="eastAsia" w:ascii="仿宋_GB2312" w:hAnsi="宋体" w:eastAsia="仿宋_GB2312"/>
          <w:sz w:val="32"/>
        </w:rPr>
        <w:t>祁曼塔格乡人民政府位于若羌县城东南部，是若羌县重要的畜牧业生产基地。乡政府驻地的祁曼塔格村，位于羌塘高原北端，阿尔金山以东、昆仑山以北、祁曼塔格山南麓的库姆库勒高原盆地之间的依协克帕提，平均海拔4500米。距依吞布拉克镇200公里，距若羌县城480余公里，距州府所在地库尔勒市920余公里。全年多风，属典型的高原荒漠干旱气候。自然环境恶劣，生活、生产条件艰苦，是五类艰苦边远地区。年平均气温1.4℃，7月份平均气温13.5℃，极端高温28℃，1月份平均气温-12.4℃，极端低温-31.3℃。平均降水量50.3mm，最大冻土深度250cm，无霜期150天。</w:t>
      </w:r>
    </w:p>
    <w:p>
      <w:pPr>
        <w:widowControl/>
        <w:ind w:firstLine="640" w:firstLineChars="200"/>
        <w:rPr>
          <w:rFonts w:hint="eastAsia" w:ascii="仿宋_GB2312" w:hAnsi="宋体" w:eastAsia="仿宋_GB2312"/>
          <w:sz w:val="32"/>
        </w:rPr>
      </w:pPr>
      <w:r>
        <w:rPr>
          <w:rFonts w:hint="eastAsia" w:ascii="仿宋_GB2312" w:hAnsi="宋体" w:eastAsia="仿宋_GB2312"/>
          <w:sz w:val="32"/>
        </w:rPr>
        <w:t>全村总面积2.2万平方千米，其中草场面积573513亩，无耕地，放养的牲畜主要以羊、牛为主，辅以少量的马、骆驼和毛驴。村集体年收入</w:t>
      </w:r>
      <w:r>
        <w:rPr>
          <w:rFonts w:hint="eastAsia" w:ascii="仿宋_GB2312" w:hAnsi="宋体" w:eastAsia="仿宋_GB2312"/>
          <w:sz w:val="32"/>
          <w:lang w:val="en-US" w:eastAsia="zh-CN"/>
        </w:rPr>
        <w:t>10.8</w:t>
      </w:r>
      <w:r>
        <w:rPr>
          <w:rFonts w:hint="eastAsia" w:ascii="仿宋_GB2312" w:hAnsi="宋体" w:eastAsia="仿宋_GB2312"/>
          <w:sz w:val="32"/>
        </w:rPr>
        <w:t>万元，201</w:t>
      </w:r>
      <w:r>
        <w:rPr>
          <w:rFonts w:hint="eastAsia" w:ascii="仿宋_GB2312" w:hAnsi="宋体" w:eastAsia="仿宋_GB2312"/>
          <w:sz w:val="32"/>
          <w:lang w:val="en-US" w:eastAsia="zh-CN"/>
        </w:rPr>
        <w:t>8</w:t>
      </w:r>
      <w:r>
        <w:rPr>
          <w:rFonts w:hint="eastAsia" w:ascii="仿宋_GB2312" w:hAnsi="宋体" w:eastAsia="仿宋_GB2312"/>
          <w:sz w:val="32"/>
        </w:rPr>
        <w:t>年农牧民人均纯收入为</w:t>
      </w:r>
      <w:r>
        <w:rPr>
          <w:rFonts w:hint="eastAsia" w:ascii="仿宋_GB2312" w:hAnsi="宋体" w:eastAsia="仿宋_GB2312"/>
          <w:sz w:val="32"/>
          <w:lang w:val="en-US" w:eastAsia="zh-CN"/>
        </w:rPr>
        <w:t>5600</w:t>
      </w:r>
      <w:r>
        <w:rPr>
          <w:rFonts w:hint="eastAsia" w:ascii="仿宋_GB2312" w:hAnsi="宋体" w:eastAsia="仿宋_GB2312"/>
          <w:sz w:val="32"/>
        </w:rPr>
        <w:t>元。2008年以来，按照自治州“人畜下山来，绿色留高原”工作方针，全乡牧民通过“集中安置”和“插花安置”方式搬迁居住到若羌县城周边乡镇（铁干里克镇、吾塔木乡和瓦石峡镇塔什萨依开发区）主要来源是畜牧业生产及外出务工劳务收入。</w:t>
      </w:r>
    </w:p>
    <w:p>
      <w:pPr>
        <w:spacing w:line="540" w:lineRule="exact"/>
        <w:ind w:firstLine="579" w:firstLineChars="181"/>
        <w:rPr>
          <w:rFonts w:hint="eastAsia" w:ascii="仿宋_GB2312" w:hAnsi="宋体" w:eastAsia="仿宋_GB2312"/>
          <w:sz w:val="32"/>
          <w:lang w:eastAsia="zh-CN"/>
        </w:rPr>
      </w:pPr>
      <w:r>
        <w:rPr>
          <w:rFonts w:hint="eastAsia" w:ascii="仿宋_GB2312" w:hAnsi="宋体" w:eastAsia="仿宋_GB2312"/>
          <w:sz w:val="32"/>
        </w:rPr>
        <w:t>2015年，由祁曼塔格村和铁木里克村17名贫困户联合注册成立祁曼畜牧养殖专业合作社，</w:t>
      </w:r>
      <w:r>
        <w:rPr>
          <w:rFonts w:hint="eastAsia" w:ascii="仿宋_GB2312" w:hAnsi="宋体" w:eastAsia="仿宋_GB2312"/>
          <w:sz w:val="32"/>
          <w:lang w:eastAsia="zh-CN"/>
        </w:rPr>
        <w:t>注册资金</w:t>
      </w:r>
      <w:r>
        <w:rPr>
          <w:rFonts w:hint="eastAsia" w:ascii="仿宋_GB2312" w:hAnsi="宋体" w:eastAsia="仿宋_GB2312"/>
          <w:sz w:val="32"/>
          <w:lang w:val="en-US" w:eastAsia="zh-CN"/>
        </w:rPr>
        <w:t>295.4万元。法人为艾热提·阿不都力</w:t>
      </w:r>
      <w:r>
        <w:rPr>
          <w:rFonts w:hint="eastAsia" w:ascii="仿宋_GB2312" w:hAnsi="宋体" w:eastAsia="仿宋_GB2312"/>
          <w:sz w:val="32"/>
          <w:lang w:eastAsia="zh-CN"/>
        </w:rPr>
        <w:t>。</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640"/>
        <w:rPr>
          <w:rFonts w:hint="eastAsia" w:ascii="仿宋_GB2312" w:hAnsi="宋体" w:eastAsia="仿宋_GB2312"/>
          <w:sz w:val="32"/>
          <w:lang w:val="en-US"/>
        </w:rPr>
      </w:pPr>
      <w:r>
        <w:rPr>
          <w:rFonts w:hint="eastAsia" w:ascii="仿宋_GB2312" w:hAnsi="宋体" w:eastAsia="仿宋_GB2312"/>
          <w:sz w:val="32"/>
        </w:rPr>
        <w:t>该项目</w:t>
      </w:r>
      <w:r>
        <w:rPr>
          <w:rFonts w:hint="eastAsia" w:ascii="仿宋_GB2312" w:hAnsi="宋体" w:eastAsia="仿宋_GB2312"/>
          <w:sz w:val="32"/>
          <w:lang w:val="en-US" w:eastAsia="zh-CN"/>
        </w:rPr>
        <w:t>54</w:t>
      </w:r>
      <w:r>
        <w:rPr>
          <w:rFonts w:hint="eastAsia" w:ascii="仿宋_GB2312" w:hAnsi="宋体" w:eastAsia="仿宋_GB2312"/>
          <w:sz w:val="32"/>
        </w:rPr>
        <w:t>万元购买疆内良种肉牛（黑星）27头（畜龄2-4岁、活体体重不低于300公斤/头），扶持贫困户27户，每户发放1头，每头2万元，由贫困户自行养殖，村委会跟踪服务管理，乡兽医站提供技术指导；预计每年每户可实现增收3000元左右。</w:t>
      </w:r>
      <w:r>
        <w:rPr>
          <w:rFonts w:hint="eastAsia" w:ascii="仿宋_GB2312" w:hAnsi="仿宋_GB2312" w:eastAsia="仿宋_GB2312" w:cs="仿宋_GB2312"/>
          <w:sz w:val="32"/>
          <w:szCs w:val="32"/>
          <w:lang w:val="en-US" w:eastAsia="zh-CN"/>
        </w:rPr>
        <w:t>该项目于</w:t>
      </w:r>
      <w:r>
        <w:rPr>
          <w:rFonts w:hint="default"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val="en-US" w:eastAsia="zh-CN"/>
        </w:rPr>
        <w:t>月</w:t>
      </w:r>
      <w:r>
        <w:rPr>
          <w:rFonts w:hint="default"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lang w:val="en-US" w:eastAsia="zh-CN"/>
        </w:rPr>
        <w:t>日委托第三方招标代理公司新疆君道同城工程项目管理有限公司在新疆政府采购网上发布招标公告。7月28日进行公开招标。中标单位：若羌县神犇养殖专业合作社，中标价：534600元。于2019年9月3日发放到户到27户贫困户。</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40"/>
        <w:rPr>
          <w:rFonts w:hint="eastAsia" w:ascii="仿宋_GB2312" w:hAnsi="宋体" w:eastAsia="仿宋_GB2312" w:cs="Times New Roman"/>
          <w:sz w:val="32"/>
          <w:lang w:val="en-US" w:eastAsia="zh-CN"/>
        </w:rPr>
      </w:pPr>
      <w:r>
        <w:rPr>
          <w:rFonts w:hint="eastAsia" w:ascii="仿宋_GB2312" w:hAnsi="宋体" w:eastAsia="仿宋_GB2312" w:cs="Times New Roman"/>
          <w:sz w:val="32"/>
          <w:lang w:val="en-US" w:eastAsia="zh-CN"/>
        </w:rPr>
        <w:t>中央第二批专项扶贫资金54万元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宋体" w:eastAsia="仿宋_GB2312"/>
          <w:sz w:val="32"/>
        </w:rPr>
        <w:t>该项目</w:t>
      </w:r>
      <w:r>
        <w:rPr>
          <w:rFonts w:hint="eastAsia" w:ascii="仿宋_GB2312" w:hAnsi="宋体" w:eastAsia="仿宋_GB2312"/>
          <w:sz w:val="32"/>
          <w:lang w:val="en-US" w:eastAsia="zh-CN"/>
        </w:rPr>
        <w:t>54</w:t>
      </w:r>
      <w:r>
        <w:rPr>
          <w:rFonts w:hint="eastAsia" w:ascii="仿宋_GB2312" w:hAnsi="宋体" w:eastAsia="仿宋_GB2312"/>
          <w:sz w:val="32"/>
        </w:rPr>
        <w:t>万元购买疆内良种肉牛（黑星）27头（畜龄2-4岁、活体体重不低于300公斤/头），扶持贫困户27户，每户发放1头，每头2万元，由贫困户自行养殖，村委会跟踪服务管理，乡兽医站提供技术指导；预计每年每户可实现增收3000元左右。</w:t>
      </w:r>
      <w:r>
        <w:rPr>
          <w:rFonts w:hint="eastAsia" w:ascii="仿宋_GB2312" w:hAnsi="仿宋_GB2312" w:eastAsia="仿宋_GB2312" w:cs="仿宋_GB2312"/>
          <w:sz w:val="32"/>
          <w:szCs w:val="32"/>
          <w:lang w:val="en-US" w:eastAsia="zh-CN"/>
        </w:rPr>
        <w:t>该项目于</w:t>
      </w:r>
      <w:r>
        <w:rPr>
          <w:rFonts w:hint="default"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val="en-US" w:eastAsia="zh-CN"/>
        </w:rPr>
        <w:t>月</w:t>
      </w:r>
      <w:r>
        <w:rPr>
          <w:rFonts w:hint="default"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lang w:val="en-US" w:eastAsia="zh-CN"/>
        </w:rPr>
        <w:t>日委托第三方招标代理公司新疆君道同城工程项目管理有限公司在新疆政府采购网上发布招标公告。7月28日进行公开招标。中标单位：若羌县神犇养殖专业合作社，中标价：534600元。于2019年9月3日发放到户到27户贫困户。</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rPr>
      </w:pPr>
      <w:r>
        <w:rPr>
          <w:rFonts w:hint="eastAsia" w:ascii="仿宋_GB2312" w:hAnsi="宋体" w:eastAsia="仿宋_GB2312"/>
          <w:sz w:val="32"/>
        </w:rPr>
        <w:t>项目严格按照扶贫开发项目管理有关制度的管理规定实施，高标准规划设计和实施。成立由祁曼塔格乡党委书记任组长，党委副书记、乡长任副组长，乡纪委书记、村委会书记、主任，驻村工作队队长、乡财政负责人为成员的项目建设实施领导小组。领导小组与项目村签订目标责任书，明确责任，责任到人。对于职责不清、措施不到位的，落实不及时的，要追究责任，严肃处理。对于弄虚作假的，坚决</w:t>
      </w:r>
      <w:r>
        <w:rPr>
          <w:rFonts w:hint="eastAsia" w:ascii="仿宋_GB2312" w:hAnsi="宋体" w:eastAsia="仿宋_GB2312"/>
          <w:sz w:val="32"/>
          <w:lang w:val="en-US" w:eastAsia="zh-CN"/>
        </w:rPr>
        <w:t>予</w:t>
      </w:r>
      <w:r>
        <w:rPr>
          <w:rFonts w:hint="eastAsia" w:ascii="仿宋_GB2312" w:hAnsi="宋体" w:eastAsia="仿宋_GB2312"/>
          <w:sz w:val="32"/>
        </w:rPr>
        <w:t>以制止。</w:t>
      </w:r>
    </w:p>
    <w:p>
      <w:pPr>
        <w:keepNext w:val="0"/>
        <w:keepLines w:val="0"/>
        <w:pageBreakBefore w:val="0"/>
        <w:kinsoku/>
        <w:wordWrap/>
        <w:overflowPunct/>
        <w:topLinePunct w:val="0"/>
        <w:autoSpaceDE/>
        <w:autoSpaceDN/>
        <w:bidi w:val="0"/>
        <w:adjustRightInd/>
        <w:snapToGrid/>
        <w:spacing w:line="54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4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keepNext w:val="0"/>
        <w:keepLines w:val="0"/>
        <w:pageBreakBefore w:val="0"/>
        <w:kinsoku/>
        <w:wordWrap/>
        <w:overflowPunct/>
        <w:topLinePunct w:val="0"/>
        <w:autoSpaceDE/>
        <w:autoSpaceDN/>
        <w:bidi w:val="0"/>
        <w:adjustRightInd/>
        <w:snapToGrid/>
        <w:spacing w:line="540" w:lineRule="exact"/>
        <w:ind w:firstLine="579" w:firstLineChars="181"/>
        <w:textAlignment w:val="auto"/>
        <w:rPr>
          <w:rFonts w:hint="eastAsia" w:ascii="仿宋_GB2312" w:hAnsi="宋体" w:eastAsia="仿宋_GB2312"/>
          <w:sz w:val="32"/>
          <w:lang w:eastAsia="zh-CN"/>
        </w:rPr>
      </w:pPr>
      <w:r>
        <w:rPr>
          <w:rFonts w:hint="eastAsia" w:ascii="仿宋_GB2312" w:hAnsi="宋体" w:eastAsia="仿宋_GB2312"/>
          <w:sz w:val="32"/>
        </w:rPr>
        <w:t>项目</w:t>
      </w:r>
      <w:r>
        <w:rPr>
          <w:rFonts w:hint="eastAsia" w:ascii="仿宋_GB2312" w:hAnsi="宋体" w:eastAsia="仿宋_GB2312"/>
          <w:sz w:val="32"/>
          <w:lang w:val="en-US" w:eastAsia="zh-CN"/>
        </w:rPr>
        <w:t>54</w:t>
      </w:r>
      <w:r>
        <w:rPr>
          <w:rFonts w:hint="eastAsia" w:ascii="仿宋_GB2312" w:hAnsi="宋体" w:eastAsia="仿宋_GB2312"/>
          <w:sz w:val="32"/>
        </w:rPr>
        <w:t>万元购买疆内良种肉牛（黑星）27头（畜龄2-4岁、活体体重不低于300公斤/头），扶持贫困户27户，每户发放1头，每头2万元，由贫困户自行养殖，村委会跟踪服务管理，乡兽医站提供技术指导；预计每年每户可实现增收3000元左右</w:t>
      </w:r>
      <w:r>
        <w:rPr>
          <w:rFonts w:hint="eastAsia" w:ascii="仿宋_GB2312" w:hAnsi="宋体" w:eastAsia="仿宋_GB2312"/>
          <w:sz w:val="32"/>
          <w:lang w:eastAsia="zh-CN"/>
        </w:rPr>
        <w:t>。</w:t>
      </w:r>
    </w:p>
    <w:p>
      <w:pPr>
        <w:keepNext w:val="0"/>
        <w:keepLines w:val="0"/>
        <w:pageBreakBefore w:val="0"/>
        <w:kinsoku/>
        <w:wordWrap/>
        <w:overflowPunct/>
        <w:topLinePunct w:val="0"/>
        <w:autoSpaceDE/>
        <w:autoSpaceDN/>
        <w:bidi w:val="0"/>
        <w:adjustRightInd/>
        <w:snapToGrid/>
        <w:spacing w:line="54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keepNext w:val="0"/>
        <w:keepLines w:val="0"/>
        <w:pageBreakBefore w:val="0"/>
        <w:kinsoku/>
        <w:wordWrap/>
        <w:overflowPunct/>
        <w:topLinePunct w:val="0"/>
        <w:autoSpaceDE/>
        <w:autoSpaceDN/>
        <w:bidi w:val="0"/>
        <w:adjustRightInd/>
        <w:snapToGrid/>
        <w:spacing w:line="540" w:lineRule="exact"/>
        <w:ind w:firstLine="624" w:firstLineChars="200"/>
        <w:textAlignment w:val="auto"/>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成立了祁曼塔格村村级扶贫项目实施领导小组，并下设办公室，安排专人负责项目申报、落实及实施等日常监督管理工作。</w:t>
      </w:r>
    </w:p>
    <w:p>
      <w:pPr>
        <w:keepNext w:val="0"/>
        <w:keepLines w:val="0"/>
        <w:pageBreakBefore w:val="0"/>
        <w:kinsoku/>
        <w:wordWrap/>
        <w:overflowPunct/>
        <w:topLinePunct w:val="0"/>
        <w:autoSpaceDE/>
        <w:autoSpaceDN/>
        <w:bidi w:val="0"/>
        <w:adjustRightInd/>
        <w:snapToGrid/>
        <w:spacing w:line="540" w:lineRule="exact"/>
        <w:ind w:firstLine="640"/>
        <w:textAlignment w:val="auto"/>
        <w:rPr>
          <w:rStyle w:val="18"/>
          <w:rFonts w:ascii="黑体" w:hAnsi="黑体" w:eastAsia="黑体"/>
        </w:rPr>
      </w:pPr>
      <w:r>
        <w:rPr>
          <w:rStyle w:val="18"/>
          <w:rFonts w:hint="eastAsia" w:ascii="黑体" w:hAnsi="黑体" w:eastAsia="黑体"/>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4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40" w:lineRule="exact"/>
        <w:ind w:firstLine="564" w:firstLineChars="181"/>
        <w:textAlignment w:val="auto"/>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该项目带动建档立卡贫困户增收（户均）≥3000元；扶持建档立卡贫困户数27户；</w:t>
      </w:r>
      <w:r>
        <w:rPr>
          <w:rStyle w:val="18"/>
          <w:rFonts w:hint="eastAsia" w:ascii="仿宋" w:hAnsi="仿宋" w:eastAsia="仿宋" w:cs="Times New Roman"/>
          <w:b w:val="0"/>
          <w:spacing w:val="-4"/>
          <w:sz w:val="32"/>
          <w:szCs w:val="32"/>
          <w:lang w:val="en-US" w:eastAsia="zh-CN"/>
        </w:rPr>
        <w:t>提高贫困户人均纯收入增长率≥10％。</w:t>
      </w:r>
      <w:r>
        <w:rPr>
          <w:rStyle w:val="18"/>
          <w:rFonts w:hint="eastAsia" w:ascii="仿宋" w:hAnsi="仿宋" w:eastAsia="仿宋"/>
          <w:b w:val="0"/>
          <w:spacing w:val="-4"/>
          <w:sz w:val="32"/>
          <w:szCs w:val="32"/>
          <w:lang w:val="en-US" w:eastAsia="zh-CN"/>
        </w:rPr>
        <w:t>以上指标均符合申报的绩效目标内容。</w:t>
      </w:r>
    </w:p>
    <w:p>
      <w:pPr>
        <w:keepNext w:val="0"/>
        <w:keepLines w:val="0"/>
        <w:pageBreakBefore w:val="0"/>
        <w:kinsoku/>
        <w:wordWrap/>
        <w:overflowPunct/>
        <w:topLinePunct w:val="0"/>
        <w:autoSpaceDE/>
        <w:autoSpaceDN/>
        <w:bidi w:val="0"/>
        <w:adjustRightInd/>
        <w:snapToGrid/>
        <w:spacing w:line="54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keepNext w:val="0"/>
        <w:keepLines w:val="0"/>
        <w:pageBreakBefore w:val="0"/>
        <w:kinsoku/>
        <w:wordWrap/>
        <w:overflowPunct/>
        <w:topLinePunct w:val="0"/>
        <w:autoSpaceDE/>
        <w:autoSpaceDN/>
        <w:bidi w:val="0"/>
        <w:adjustRightInd/>
        <w:snapToGrid/>
        <w:spacing w:line="540" w:lineRule="exact"/>
        <w:ind w:firstLine="564" w:firstLineChars="181"/>
        <w:textAlignment w:val="auto"/>
        <w:rPr>
          <w:rFonts w:ascii="仿宋" w:hAnsi="仿宋" w:eastAsia="仿宋"/>
          <w:spacing w:val="-4"/>
          <w:sz w:val="32"/>
          <w:szCs w:val="32"/>
        </w:rPr>
      </w:pPr>
      <w:r>
        <w:rPr>
          <w:rFonts w:hint="eastAsia" w:ascii="仿宋" w:hAnsi="仿宋" w:eastAsia="仿宋"/>
          <w:spacing w:val="-4"/>
          <w:sz w:val="32"/>
          <w:szCs w:val="32"/>
        </w:rPr>
        <w:t>（如项目绩效目标已完成，可不用填写该部分。）</w:t>
      </w:r>
    </w:p>
    <w:p>
      <w:pPr>
        <w:keepNext w:val="0"/>
        <w:keepLines w:val="0"/>
        <w:pageBreakBefore w:val="0"/>
        <w:kinsoku/>
        <w:wordWrap/>
        <w:overflowPunct/>
        <w:topLinePunct w:val="0"/>
        <w:autoSpaceDE/>
        <w:autoSpaceDN/>
        <w:bidi w:val="0"/>
        <w:adjustRightInd/>
        <w:snapToGrid/>
        <w:spacing w:line="54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40" w:lineRule="exact"/>
        <w:ind w:firstLine="567" w:firstLineChars="181"/>
        <w:textAlignment w:val="auto"/>
        <w:rPr>
          <w:rFonts w:hint="eastAsia" w:ascii="楷体" w:hAnsi="楷体" w:eastAsia="楷体"/>
          <w:b/>
          <w:spacing w:val="-4"/>
          <w:sz w:val="32"/>
          <w:szCs w:val="32"/>
        </w:rPr>
      </w:pPr>
      <w:r>
        <w:rPr>
          <w:rFonts w:hint="eastAsia" w:ascii="楷体" w:hAnsi="楷体" w:eastAsia="楷体"/>
          <w:b/>
          <w:spacing w:val="-4"/>
          <w:sz w:val="32"/>
          <w:szCs w:val="32"/>
        </w:rPr>
        <w:t>（一）后续工作计划</w:t>
      </w:r>
    </w:p>
    <w:p>
      <w:pPr>
        <w:pStyle w:val="2"/>
        <w:ind w:firstLine="640" w:firstLineChars="200"/>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贫困户自行养殖，村委会每季度利用走访进行跟踪服务管理，积极与村兽医站协调并提供技术指导；确保每年每户贫困户增收3000元左右。</w:t>
      </w:r>
    </w:p>
    <w:p>
      <w:pPr>
        <w:keepNext w:val="0"/>
        <w:keepLines w:val="0"/>
        <w:pageBreakBefore w:val="0"/>
        <w:numPr>
          <w:ilvl w:val="0"/>
          <w:numId w:val="1"/>
        </w:numPr>
        <w:kinsoku/>
        <w:wordWrap/>
        <w:overflowPunct/>
        <w:topLinePunct w:val="0"/>
        <w:autoSpaceDE/>
        <w:autoSpaceDN/>
        <w:bidi w:val="0"/>
        <w:adjustRightInd/>
        <w:snapToGrid/>
        <w:spacing w:line="540" w:lineRule="exact"/>
        <w:ind w:firstLine="567" w:firstLineChars="181"/>
        <w:textAlignment w:val="auto"/>
        <w:rPr>
          <w:rFonts w:hint="eastAsia" w:ascii="仿宋_GB2312" w:hAnsi="仿宋_GB2312" w:eastAsia="仿宋_GB2312" w:cs="仿宋_GB2312"/>
          <w:b w:val="0"/>
          <w:bCs w:val="0"/>
          <w:sz w:val="32"/>
          <w:szCs w:val="32"/>
        </w:rPr>
      </w:pPr>
      <w:r>
        <w:rPr>
          <w:rFonts w:hint="eastAsia" w:ascii="楷体" w:hAnsi="楷体" w:eastAsia="楷体"/>
          <w:b/>
          <w:spacing w:val="-4"/>
          <w:sz w:val="32"/>
          <w:szCs w:val="32"/>
        </w:rPr>
        <w:t>主要经验及做法、存在问题和建议</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kern w:val="0"/>
          <w:sz w:val="32"/>
          <w:szCs w:val="32"/>
          <w:lang w:val="en-US" w:eastAsia="zh-CN"/>
        </w:rPr>
        <w:t>该</w:t>
      </w:r>
      <w:r>
        <w:rPr>
          <w:rFonts w:hint="eastAsia" w:ascii="仿宋_GB2312" w:hAnsi="仿宋_GB2312" w:eastAsia="仿宋_GB2312" w:cs="仿宋_GB2312"/>
          <w:b w:val="0"/>
          <w:bCs w:val="0"/>
          <w:kern w:val="0"/>
          <w:sz w:val="32"/>
          <w:szCs w:val="32"/>
        </w:rPr>
        <w:t>扶贫</w:t>
      </w:r>
      <w:r>
        <w:rPr>
          <w:rFonts w:hint="eastAsia" w:ascii="仿宋_GB2312" w:hAnsi="仿宋_GB2312" w:eastAsia="仿宋_GB2312" w:cs="仿宋_GB2312"/>
          <w:b w:val="0"/>
          <w:bCs w:val="0"/>
          <w:kern w:val="0"/>
          <w:sz w:val="32"/>
          <w:szCs w:val="32"/>
          <w:lang w:val="en-US" w:eastAsia="zh-CN"/>
        </w:rPr>
        <w:t>项目选项合理、并将资金利益最大化，按照项目前期规划完成</w:t>
      </w:r>
      <w:r>
        <w:rPr>
          <w:rFonts w:hint="eastAsia" w:ascii="仿宋_GB2312" w:hAnsi="仿宋_GB2312" w:eastAsia="仿宋_GB2312" w:cs="仿宋_GB2312"/>
          <w:b w:val="0"/>
          <w:bCs w:val="0"/>
          <w:kern w:val="0"/>
          <w:sz w:val="32"/>
          <w:szCs w:val="32"/>
          <w:lang w:eastAsia="zh-CN"/>
        </w:rPr>
        <w:t>，该项目的实施</w:t>
      </w:r>
      <w:r>
        <w:rPr>
          <w:rFonts w:hint="eastAsia" w:ascii="仿宋_GB2312" w:hAnsi="仿宋_GB2312" w:eastAsia="仿宋_GB2312" w:cs="仿宋_GB2312"/>
          <w:b w:val="0"/>
          <w:bCs w:val="0"/>
          <w:kern w:val="0"/>
          <w:sz w:val="32"/>
          <w:szCs w:val="32"/>
        </w:rPr>
        <w:t>取得了良好的经济、社会和生态效益。</w:t>
      </w:r>
    </w:p>
    <w:p>
      <w:pPr>
        <w:keepNext w:val="0"/>
        <w:keepLines w:val="0"/>
        <w:pageBreakBefore w:val="0"/>
        <w:kinsoku/>
        <w:wordWrap/>
        <w:overflowPunct/>
        <w:topLinePunct w:val="0"/>
        <w:autoSpaceDE/>
        <w:autoSpaceDN/>
        <w:bidi w:val="0"/>
        <w:adjustRightInd/>
        <w:snapToGrid/>
        <w:spacing w:line="54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（三）其他</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分建，七分管”，购建是基础，管理是关键。我们始终把后期管理工作作为我乡扶贫项目建设的长远大事来抓，把实施和管理有机地结合起来，使扶贫项目发挥长远效益，确保扶贫项目得以有效有利的高效运转。</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具体做到：一是抓好扶贫项目竣工移交工作。项目建成通过验收后，将搞好扶贫项目移交手续，落实项目工程管理；二是制定扶贫项目日常管理制度。根据扶贫项目不同特点、详细制定单项工程管理制度、公约和规程，使该项目工作有章可循；三是落实管理责任。扶贫项目日常管理责任落实到人，使项目实施过程中最大限度地不受损坏和损失；四是落实监管制度。为长期保持扶贫畜可持续产生生产效益，每年定期进行日常巡查和年度验收工作。</w:t>
      </w:r>
    </w:p>
    <w:p>
      <w:pPr>
        <w:keepNext w:val="0"/>
        <w:keepLines w:val="0"/>
        <w:pageBreakBefore w:val="0"/>
        <w:kinsoku/>
        <w:wordWrap/>
        <w:overflowPunct/>
        <w:topLinePunct w:val="0"/>
        <w:autoSpaceDE/>
        <w:autoSpaceDN/>
        <w:bidi w:val="0"/>
        <w:adjustRightInd/>
        <w:snapToGrid/>
        <w:spacing w:line="540" w:lineRule="exact"/>
        <w:ind w:firstLine="64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ascii="仿宋" w:hAnsi="仿宋" w:eastAsia="仿宋" w:cs="Arial"/>
          <w:kern w:val="0"/>
          <w:sz w:val="32"/>
          <w:szCs w:val="32"/>
        </w:rPr>
      </w:pPr>
      <w:r>
        <w:rPr>
          <w:rFonts w:ascii="仿宋" w:hAnsi="仿宋" w:eastAsia="仿宋" w:cs="Arial"/>
          <w:kern w:val="0"/>
          <w:sz w:val="32"/>
          <w:szCs w:val="32"/>
        </w:rPr>
        <w:t>经过验收小组</w:t>
      </w:r>
      <w:r>
        <w:rPr>
          <w:rFonts w:hint="eastAsia" w:ascii="仿宋" w:hAnsi="仿宋" w:eastAsia="仿宋" w:cs="Arial"/>
          <w:kern w:val="0"/>
          <w:sz w:val="32"/>
          <w:szCs w:val="32"/>
          <w:lang w:eastAsia="zh-CN"/>
        </w:rPr>
        <w:t>自查自验，形成</w:t>
      </w:r>
      <w:r>
        <w:rPr>
          <w:rFonts w:ascii="仿宋" w:hAnsi="仿宋" w:eastAsia="仿宋" w:cs="Arial"/>
          <w:kern w:val="0"/>
          <w:sz w:val="32"/>
          <w:szCs w:val="32"/>
        </w:rPr>
        <w:t>总体</w:t>
      </w:r>
      <w:r>
        <w:rPr>
          <w:rFonts w:hint="eastAsia" w:ascii="仿宋" w:hAnsi="仿宋" w:eastAsia="仿宋" w:cs="Arial"/>
          <w:kern w:val="0"/>
          <w:sz w:val="32"/>
          <w:szCs w:val="32"/>
          <w:lang w:val="en-US" w:eastAsia="zh-CN"/>
        </w:rPr>
        <w:t>评价是：项目选项合理、并将资金利益最大化，按照项目前期规划完成</w:t>
      </w:r>
      <w:r>
        <w:rPr>
          <w:rFonts w:hint="eastAsia" w:ascii="仿宋" w:hAnsi="仿宋" w:eastAsia="仿宋" w:cs="Arial"/>
          <w:kern w:val="0"/>
          <w:sz w:val="32"/>
          <w:szCs w:val="32"/>
          <w:lang w:eastAsia="zh-CN"/>
        </w:rPr>
        <w:t>，该项目的实施</w:t>
      </w:r>
      <w:r>
        <w:rPr>
          <w:rFonts w:ascii="仿宋" w:hAnsi="仿宋" w:eastAsia="仿宋" w:cs="Arial"/>
          <w:kern w:val="0"/>
          <w:sz w:val="32"/>
          <w:szCs w:val="32"/>
        </w:rPr>
        <w:t>取得了良好的经济、社会和生态效益。</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 w:hAnsi="仿宋" w:eastAsia="仿宋" w:cs="Arial"/>
          <w:kern w:val="0"/>
          <w:sz w:val="32"/>
          <w:szCs w:val="32"/>
        </w:rPr>
      </w:pPr>
      <w:r>
        <w:rPr>
          <w:rFonts w:hint="eastAsia" w:ascii="仿宋" w:hAnsi="仿宋" w:eastAsia="仿宋" w:cs="Arial"/>
          <w:kern w:val="0"/>
          <w:sz w:val="32"/>
          <w:szCs w:val="32"/>
          <w:lang w:eastAsia="zh-CN"/>
        </w:rPr>
        <w:t>验收小组</w:t>
      </w:r>
      <w:r>
        <w:rPr>
          <w:rFonts w:ascii="仿宋" w:hAnsi="仿宋" w:eastAsia="仿宋" w:cs="Arial"/>
          <w:kern w:val="0"/>
          <w:sz w:val="32"/>
          <w:szCs w:val="32"/>
        </w:rPr>
        <w:t>认为</w:t>
      </w:r>
      <w:r>
        <w:rPr>
          <w:rFonts w:hint="eastAsia" w:ascii="仿宋" w:hAnsi="仿宋" w:eastAsia="仿宋" w:cs="Arial"/>
          <w:kern w:val="0"/>
          <w:sz w:val="32"/>
          <w:szCs w:val="32"/>
        </w:rPr>
        <w:t>实施的</w:t>
      </w:r>
      <w:r>
        <w:rPr>
          <w:rFonts w:ascii="仿宋" w:hAnsi="仿宋" w:eastAsia="仿宋" w:cs="Arial"/>
          <w:kern w:val="0"/>
          <w:sz w:val="32"/>
          <w:szCs w:val="32"/>
        </w:rPr>
        <w:t>扶贫项目任务已全面完成，各项管理工作严格规范，达到了验收标准。</w:t>
      </w:r>
    </w:p>
    <w:tbl>
      <w:tblPr>
        <w:tblStyle w:val="16"/>
        <w:tblW w:w="10800" w:type="dxa"/>
        <w:tblInd w:w="93" w:type="dxa"/>
        <w:tblLayout w:type="autofit"/>
        <w:tblCellMar>
          <w:top w:w="0" w:type="dxa"/>
          <w:left w:w="108" w:type="dxa"/>
          <w:bottom w:w="0" w:type="dxa"/>
          <w:right w:w="108" w:type="dxa"/>
        </w:tblCellMar>
      </w:tblPr>
      <w:tblGrid>
        <w:gridCol w:w="720"/>
        <w:gridCol w:w="1140"/>
        <w:gridCol w:w="1360"/>
        <w:gridCol w:w="1080"/>
        <w:gridCol w:w="880"/>
        <w:gridCol w:w="2060"/>
        <w:gridCol w:w="1780"/>
        <w:gridCol w:w="1780"/>
      </w:tblGrid>
      <w:tr>
        <w:tblPrEx>
          <w:tblCellMar>
            <w:top w:w="0" w:type="dxa"/>
            <w:left w:w="108" w:type="dxa"/>
            <w:bottom w:w="0" w:type="dxa"/>
            <w:right w:w="108" w:type="dxa"/>
          </w:tblCellMar>
        </w:tblPrEx>
        <w:trPr>
          <w:gridAfter w:val="1"/>
          <w:wAfter w:w="1780" w:type="dxa"/>
          <w:trHeight w:val="405" w:hRule="atLeast"/>
        </w:trPr>
        <w:tc>
          <w:tcPr>
            <w:tcW w:w="9020" w:type="dxa"/>
            <w:gridSpan w:val="7"/>
            <w:tcBorders>
              <w:top w:val="nil"/>
              <w:left w:val="nil"/>
              <w:bottom w:val="nil"/>
              <w:right w:val="nil"/>
            </w:tcBorders>
            <w:shd w:val="clear" w:color="auto" w:fill="auto"/>
            <w:vAlign w:val="center"/>
          </w:tcPr>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w:t>
            </w:r>
            <w:r>
              <w:rPr>
                <w:rFonts w:hint="eastAsia" w:ascii="仿宋" w:hAnsi="仿宋" w:eastAsia="仿宋" w:cs="Arial"/>
                <w:kern w:val="0"/>
                <w:sz w:val="32"/>
                <w:szCs w:val="32"/>
                <w:lang w:val="en-US" w:eastAsia="zh-CN"/>
              </w:rPr>
              <w:t>祁曼塔格乡祁曼塔格村</w:t>
            </w:r>
            <w:r>
              <w:rPr>
                <w:rStyle w:val="18"/>
                <w:rFonts w:hint="eastAsia" w:ascii="仿宋" w:hAnsi="仿宋" w:eastAsia="仿宋"/>
                <w:b w:val="0"/>
                <w:spacing w:val="-4"/>
                <w:sz w:val="32"/>
                <w:szCs w:val="32"/>
              </w:rPr>
              <w:t>财政项目支出绩效自评表》</w:t>
            </w:r>
          </w:p>
          <w:p>
            <w:pPr>
              <w:widowControl/>
              <w:numPr>
                <w:numId w:val="0"/>
              </w:numPr>
              <w:jc w:val="both"/>
              <w:rPr>
                <w:rStyle w:val="18"/>
                <w:rFonts w:hint="eastAsia" w:ascii="黑体" w:hAnsi="黑体" w:eastAsia="黑体"/>
                <w:b w:val="0"/>
                <w:spacing w:val="-4"/>
                <w:sz w:val="32"/>
                <w:szCs w:val="32"/>
              </w:rPr>
            </w:pPr>
          </w:p>
          <w:p>
            <w:pPr>
              <w:widowControl/>
              <w:numPr>
                <w:numId w:val="0"/>
              </w:numPr>
              <w:ind w:firstLine="643" w:firstLineChars="200"/>
              <w:jc w:val="both"/>
              <w:rPr>
                <w:rFonts w:ascii="宋体" w:hAnsi="宋体" w:cs="宋体"/>
                <w:b/>
                <w:bCs/>
                <w:kern w:val="0"/>
                <w:sz w:val="32"/>
                <w:szCs w:val="32"/>
              </w:rPr>
            </w:pPr>
            <w:bookmarkStart w:id="0" w:name="_GoBack"/>
            <w:bookmarkEnd w:id="0"/>
            <w:r>
              <w:rPr>
                <w:rFonts w:hint="eastAsia" w:ascii="宋体" w:hAnsi="宋体" w:eastAsia="宋体" w:cs="宋体"/>
                <w:b/>
                <w:i w:val="0"/>
                <w:color w:val="000000"/>
                <w:kern w:val="0"/>
                <w:sz w:val="32"/>
                <w:szCs w:val="32"/>
                <w:u w:val="none"/>
                <w:lang w:val="en-US" w:eastAsia="zh-CN" w:bidi="ar"/>
              </w:rPr>
              <w:t>祁曼塔格乡祁曼塔格村</w:t>
            </w:r>
            <w:r>
              <w:rPr>
                <w:rFonts w:hint="eastAsia" w:ascii="宋体" w:hAnsi="宋体" w:cs="宋体"/>
                <w:b/>
                <w:bCs/>
                <w:kern w:val="0"/>
                <w:sz w:val="32"/>
                <w:szCs w:val="32"/>
              </w:rPr>
              <w:t>财政项目支出绩效自评表</w:t>
            </w:r>
          </w:p>
        </w:tc>
      </w:tr>
      <w:tr>
        <w:tblPrEx>
          <w:tblCellMar>
            <w:top w:w="0" w:type="dxa"/>
            <w:left w:w="108" w:type="dxa"/>
            <w:bottom w:w="0" w:type="dxa"/>
            <w:right w:w="108" w:type="dxa"/>
          </w:tblCellMar>
        </w:tblPrEx>
        <w:trPr>
          <w:gridAfter w:val="1"/>
          <w:wAfter w:w="1780" w:type="dxa"/>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r>
              <w:rPr>
                <w:rFonts w:hint="eastAsia" w:ascii="宋体" w:hAnsi="宋体" w:cs="宋体"/>
                <w:kern w:val="0"/>
                <w:sz w:val="24"/>
              </w:rPr>
              <w:t>年度）</w:t>
            </w:r>
          </w:p>
        </w:tc>
      </w:tr>
      <w:tr>
        <w:tblPrEx>
          <w:tblCellMar>
            <w:top w:w="0" w:type="dxa"/>
            <w:left w:w="108" w:type="dxa"/>
            <w:bottom w:w="0" w:type="dxa"/>
            <w:right w:w="108" w:type="dxa"/>
          </w:tblCellMar>
        </w:tblPrEx>
        <w:trPr>
          <w:gridAfter w:val="1"/>
          <w:wAfter w:w="1780" w:type="dxa"/>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CellMar>
            <w:top w:w="0" w:type="dxa"/>
            <w:left w:w="108" w:type="dxa"/>
            <w:bottom w:w="0" w:type="dxa"/>
            <w:right w:w="108" w:type="dxa"/>
          </w:tblCellMar>
        </w:tblPrEx>
        <w:trPr>
          <w:gridAfter w:val="1"/>
          <w:wAfter w:w="1780" w:type="dxa"/>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祁曼塔格乡2019年畜牧养殖(肉牛）项目</w:t>
            </w:r>
            <w:r>
              <w:rPr>
                <w:rFonts w:hint="eastAsia" w:ascii="宋体" w:hAnsi="宋体" w:cs="宋体"/>
                <w:kern w:val="0"/>
                <w:sz w:val="20"/>
                <w:szCs w:val="20"/>
              </w:rPr>
              <w:t>　</w:t>
            </w:r>
          </w:p>
        </w:tc>
      </w:tr>
      <w:tr>
        <w:tblPrEx>
          <w:tblCellMar>
            <w:top w:w="0" w:type="dxa"/>
            <w:left w:w="108" w:type="dxa"/>
            <w:bottom w:w="0" w:type="dxa"/>
            <w:right w:w="108" w:type="dxa"/>
          </w:tblCellMar>
        </w:tblPrEx>
        <w:trPr>
          <w:gridAfter w:val="1"/>
          <w:wAfter w:w="1780" w:type="dxa"/>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若羌县祁曼塔格乡人民政府</w:t>
            </w:r>
            <w:r>
              <w:rPr>
                <w:rFonts w:hint="eastAsia" w:ascii="宋体" w:hAnsi="宋体" w:cs="宋体"/>
                <w:kern w:val="0"/>
                <w:sz w:val="20"/>
                <w:szCs w:val="20"/>
              </w:rPr>
              <w:t>　</w:t>
            </w:r>
          </w:p>
        </w:tc>
      </w:tr>
      <w:tr>
        <w:tblPrEx>
          <w:tblCellMar>
            <w:top w:w="0" w:type="dxa"/>
            <w:left w:w="108" w:type="dxa"/>
            <w:bottom w:w="0" w:type="dxa"/>
            <w:right w:w="108" w:type="dxa"/>
          </w:tblCellMar>
        </w:tblPrEx>
        <w:trPr>
          <w:gridAfter w:val="1"/>
          <w:wAfter w:w="1780" w:type="dxa"/>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54万元</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53.46万元</w:t>
            </w:r>
            <w:r>
              <w:rPr>
                <w:rFonts w:hint="eastAsia" w:ascii="宋体" w:hAnsi="宋体" w:cs="宋体"/>
                <w:kern w:val="0"/>
                <w:sz w:val="20"/>
                <w:szCs w:val="20"/>
              </w:rPr>
              <w:t>　</w:t>
            </w:r>
          </w:p>
        </w:tc>
      </w:tr>
      <w:tr>
        <w:tblPrEx>
          <w:tblCellMar>
            <w:top w:w="0" w:type="dxa"/>
            <w:left w:w="108" w:type="dxa"/>
            <w:bottom w:w="0" w:type="dxa"/>
            <w:right w:w="108" w:type="dxa"/>
          </w:tblCellMar>
        </w:tblPrEx>
        <w:trPr>
          <w:gridAfter w:val="1"/>
          <w:wAfter w:w="1780" w:type="dxa"/>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54万元</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53.46万元</w:t>
            </w:r>
            <w:r>
              <w:rPr>
                <w:rFonts w:hint="eastAsia" w:ascii="宋体" w:hAnsi="宋体" w:cs="宋体"/>
                <w:kern w:val="0"/>
                <w:sz w:val="20"/>
                <w:szCs w:val="20"/>
              </w:rPr>
              <w:t>　</w:t>
            </w:r>
          </w:p>
        </w:tc>
      </w:tr>
      <w:tr>
        <w:tblPrEx>
          <w:tblCellMar>
            <w:top w:w="0" w:type="dxa"/>
            <w:left w:w="108" w:type="dxa"/>
            <w:bottom w:w="0" w:type="dxa"/>
            <w:right w:w="108" w:type="dxa"/>
          </w:tblCellMar>
        </w:tblPrEx>
        <w:trPr>
          <w:gridAfter w:val="1"/>
          <w:wAfter w:w="1780" w:type="dxa"/>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gridAfter w:val="1"/>
          <w:wAfter w:w="1780" w:type="dxa"/>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CellMar>
            <w:top w:w="0" w:type="dxa"/>
            <w:left w:w="108" w:type="dxa"/>
            <w:bottom w:w="0" w:type="dxa"/>
            <w:right w:w="108" w:type="dxa"/>
          </w:tblCellMar>
        </w:tblPrEx>
        <w:trPr>
          <w:gridAfter w:val="1"/>
          <w:wAfter w:w="1780" w:type="dxa"/>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keepNext w:val="0"/>
              <w:keepLines w:val="0"/>
              <w:pageBreakBefore w:val="0"/>
              <w:kinsoku/>
              <w:wordWrap/>
              <w:overflowPunct/>
              <w:topLinePunct w:val="0"/>
              <w:autoSpaceDE/>
              <w:autoSpaceDN/>
              <w:bidi w:val="0"/>
              <w:adjustRightInd/>
              <w:snapToGrid/>
              <w:spacing w:line="540" w:lineRule="exact"/>
              <w:ind w:firstLine="362" w:firstLineChars="181"/>
              <w:jc w:val="left"/>
              <w:textAlignment w:val="auto"/>
              <w:rPr>
                <w:rFonts w:hint="eastAsia" w:ascii="宋体" w:hAnsi="宋体" w:eastAsia="宋体" w:cs="宋体"/>
                <w:kern w:val="0"/>
                <w:sz w:val="20"/>
                <w:szCs w:val="20"/>
                <w:lang w:eastAsia="zh-CN"/>
              </w:rPr>
            </w:pPr>
            <w:r>
              <w:rPr>
                <w:rFonts w:hint="eastAsia" w:ascii="宋体" w:hAnsi="宋体" w:cs="宋体"/>
                <w:kern w:val="0"/>
                <w:sz w:val="20"/>
                <w:szCs w:val="20"/>
              </w:rPr>
              <w:t>　</w:t>
            </w:r>
            <w:r>
              <w:rPr>
                <w:rFonts w:hint="eastAsia" w:ascii="宋体" w:hAnsi="宋体" w:cs="宋体"/>
                <w:kern w:val="0"/>
                <w:sz w:val="20"/>
                <w:szCs w:val="20"/>
                <w:lang w:eastAsia="zh-CN"/>
              </w:rPr>
              <w:t>购买</w:t>
            </w:r>
            <w:r>
              <w:rPr>
                <w:rFonts w:hint="eastAsia" w:ascii="宋体" w:hAnsi="宋体" w:cs="宋体"/>
                <w:kern w:val="0"/>
                <w:sz w:val="20"/>
                <w:szCs w:val="20"/>
                <w:lang w:val="en-US" w:eastAsia="zh-CN"/>
              </w:rPr>
              <w:t>27头</w:t>
            </w:r>
            <w:r>
              <w:rPr>
                <w:rFonts w:hint="eastAsia" w:ascii="宋体" w:hAnsi="宋体" w:cs="宋体"/>
                <w:kern w:val="0"/>
                <w:sz w:val="20"/>
                <w:szCs w:val="20"/>
              </w:rPr>
              <w:t>疆内良种肉牛（黑星）27</w:t>
            </w:r>
            <w:r>
              <w:rPr>
                <w:rFonts w:hint="eastAsia" w:ascii="宋体" w:hAnsi="宋体" w:cs="宋体"/>
                <w:kern w:val="0"/>
                <w:sz w:val="20"/>
                <w:szCs w:val="20"/>
                <w:lang w:eastAsia="zh-CN"/>
              </w:rPr>
              <w:t>，</w:t>
            </w:r>
            <w:r>
              <w:rPr>
                <w:rFonts w:hint="eastAsia" w:ascii="宋体" w:hAnsi="宋体" w:cs="宋体"/>
                <w:kern w:val="0"/>
                <w:sz w:val="20"/>
                <w:szCs w:val="20"/>
              </w:rPr>
              <w:t>每户发放1头，每头</w:t>
            </w:r>
            <w:r>
              <w:rPr>
                <w:rFonts w:hint="eastAsia" w:ascii="宋体" w:hAnsi="宋体" w:cs="宋体"/>
                <w:kern w:val="0"/>
                <w:sz w:val="20"/>
                <w:szCs w:val="20"/>
                <w:lang w:val="en-US" w:eastAsia="zh-CN"/>
              </w:rPr>
              <w:t>2万</w:t>
            </w:r>
            <w:r>
              <w:rPr>
                <w:rFonts w:hint="eastAsia" w:ascii="宋体" w:hAnsi="宋体" w:cs="宋体"/>
                <w:kern w:val="0"/>
                <w:sz w:val="20"/>
                <w:szCs w:val="20"/>
              </w:rPr>
              <w:t>元</w:t>
            </w:r>
            <w:r>
              <w:rPr>
                <w:rFonts w:hint="eastAsia" w:ascii="宋体" w:hAnsi="宋体" w:cs="宋体"/>
                <w:kern w:val="0"/>
                <w:sz w:val="20"/>
                <w:szCs w:val="20"/>
                <w:lang w:eastAsia="zh-CN"/>
              </w:rPr>
              <w:t>。</w:t>
            </w:r>
          </w:p>
          <w:p>
            <w:pPr>
              <w:widowControl/>
              <w:jc w:val="left"/>
              <w:rPr>
                <w:rFonts w:ascii="宋体" w:hAnsi="宋体" w:cs="宋体"/>
                <w:kern w:val="0"/>
                <w:sz w:val="20"/>
                <w:szCs w:val="20"/>
              </w:rPr>
            </w:pP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lang w:eastAsia="zh-CN"/>
              </w:rPr>
              <w:t>购买</w:t>
            </w:r>
            <w:r>
              <w:rPr>
                <w:rFonts w:hint="eastAsia" w:ascii="宋体" w:hAnsi="宋体" w:cs="宋体"/>
                <w:kern w:val="0"/>
                <w:sz w:val="20"/>
                <w:szCs w:val="20"/>
                <w:lang w:val="en-US" w:eastAsia="zh-CN"/>
              </w:rPr>
              <w:t>27头</w:t>
            </w:r>
            <w:r>
              <w:rPr>
                <w:rFonts w:hint="eastAsia" w:ascii="宋体" w:hAnsi="宋体" w:cs="宋体"/>
                <w:kern w:val="0"/>
                <w:sz w:val="20"/>
                <w:szCs w:val="20"/>
              </w:rPr>
              <w:t>疆内良种肉牛（黑星）27</w:t>
            </w:r>
            <w:r>
              <w:rPr>
                <w:rFonts w:hint="eastAsia" w:ascii="宋体" w:hAnsi="宋体" w:cs="宋体"/>
                <w:kern w:val="0"/>
                <w:sz w:val="20"/>
                <w:szCs w:val="20"/>
                <w:lang w:eastAsia="zh-CN"/>
              </w:rPr>
              <w:t>，</w:t>
            </w:r>
            <w:r>
              <w:rPr>
                <w:rFonts w:hint="eastAsia" w:ascii="宋体" w:hAnsi="宋体" w:cs="宋体"/>
                <w:kern w:val="0"/>
                <w:sz w:val="20"/>
                <w:szCs w:val="20"/>
              </w:rPr>
              <w:t>每户发放1头，每头</w:t>
            </w:r>
            <w:r>
              <w:rPr>
                <w:rFonts w:hint="eastAsia" w:ascii="宋体" w:hAnsi="宋体" w:cs="宋体"/>
                <w:kern w:val="0"/>
                <w:sz w:val="20"/>
                <w:szCs w:val="20"/>
                <w:lang w:val="en-US" w:eastAsia="zh-CN"/>
              </w:rPr>
              <w:t>19800</w:t>
            </w:r>
            <w:r>
              <w:rPr>
                <w:rFonts w:hint="eastAsia" w:ascii="宋体" w:hAnsi="宋体" w:cs="宋体"/>
                <w:kern w:val="0"/>
                <w:sz w:val="20"/>
                <w:szCs w:val="20"/>
              </w:rPr>
              <w:t>元，</w:t>
            </w:r>
            <w:r>
              <w:rPr>
                <w:rFonts w:hint="eastAsia" w:ascii="宋体" w:hAnsi="宋体" w:cs="宋体"/>
                <w:kern w:val="0"/>
                <w:sz w:val="20"/>
                <w:szCs w:val="20"/>
                <w:lang w:eastAsia="zh-CN"/>
              </w:rPr>
              <w:t>隔离</w:t>
            </w:r>
            <w:r>
              <w:rPr>
                <w:rFonts w:hint="eastAsia" w:ascii="宋体" w:hAnsi="宋体" w:cs="宋体"/>
                <w:kern w:val="0"/>
                <w:sz w:val="20"/>
                <w:szCs w:val="20"/>
                <w:lang w:val="en-US" w:eastAsia="zh-CN"/>
              </w:rPr>
              <w:t>21天后发放到户。</w:t>
            </w:r>
          </w:p>
        </w:tc>
      </w:tr>
      <w:tr>
        <w:tblPrEx>
          <w:tblCellMar>
            <w:top w:w="0" w:type="dxa"/>
            <w:left w:w="108" w:type="dxa"/>
            <w:bottom w:w="0" w:type="dxa"/>
            <w:right w:w="108" w:type="dxa"/>
          </w:tblCellMar>
        </w:tblPrEx>
        <w:trPr>
          <w:gridAfter w:val="1"/>
          <w:wAfter w:w="1780" w:type="dxa"/>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CellMar>
            <w:top w:w="0" w:type="dxa"/>
            <w:left w:w="108" w:type="dxa"/>
            <w:bottom w:w="0" w:type="dxa"/>
            <w:right w:w="108" w:type="dxa"/>
          </w:tblCellMar>
        </w:tblPrEx>
        <w:trPr>
          <w:gridAfter w:val="1"/>
          <w:wAfter w:w="1780"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eastAsia="宋体" w:cs="宋体"/>
                <w:i w:val="0"/>
                <w:color w:val="000000"/>
                <w:kern w:val="0"/>
                <w:sz w:val="20"/>
                <w:szCs w:val="20"/>
                <w:u w:val="none"/>
                <w:lang w:val="en-US" w:eastAsia="zh-CN" w:bidi="ar"/>
              </w:rPr>
              <w:t>27户</w:t>
            </w:r>
            <w:r>
              <w:rPr>
                <w:rFonts w:hint="eastAsia" w:ascii="宋体" w:hAnsi="宋体" w:cs="宋体"/>
                <w:i w:val="0"/>
                <w:color w:val="000000"/>
                <w:kern w:val="0"/>
                <w:sz w:val="20"/>
                <w:szCs w:val="20"/>
                <w:u w:val="none"/>
                <w:lang w:val="en-US" w:eastAsia="zh-CN" w:bidi="ar"/>
              </w:rPr>
              <w:t>购买27头黑星牛</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cs="宋体"/>
                <w:kern w:val="0"/>
                <w:sz w:val="20"/>
                <w:szCs w:val="20"/>
              </w:rPr>
              <w:t>　</w:t>
            </w:r>
            <w:r>
              <w:rPr>
                <w:rFonts w:hint="eastAsia" w:ascii="宋体" w:hAnsi="宋体" w:eastAsia="宋体" w:cs="宋体"/>
                <w:i w:val="0"/>
                <w:color w:val="000000"/>
                <w:kern w:val="0"/>
                <w:sz w:val="20"/>
                <w:szCs w:val="20"/>
                <w:u w:val="none"/>
                <w:lang w:val="en-US" w:eastAsia="zh-CN" w:bidi="ar"/>
              </w:rPr>
              <w:t>27户</w:t>
            </w:r>
            <w:r>
              <w:rPr>
                <w:rFonts w:hint="eastAsia" w:ascii="宋体" w:hAnsi="宋体" w:cs="宋体"/>
                <w:i w:val="0"/>
                <w:color w:val="000000"/>
                <w:kern w:val="0"/>
                <w:sz w:val="20"/>
                <w:szCs w:val="20"/>
                <w:u w:val="none"/>
                <w:lang w:val="en-US" w:eastAsia="zh-CN" w:bidi="ar"/>
              </w:rPr>
              <w:t>发放27头黑星牛</w:t>
            </w:r>
          </w:p>
          <w:p>
            <w:pPr>
              <w:widowControl/>
              <w:jc w:val="left"/>
              <w:rPr>
                <w:rFonts w:ascii="宋体" w:hAnsi="宋体" w:cs="宋体"/>
                <w:kern w:val="0"/>
                <w:sz w:val="20"/>
                <w:szCs w:val="20"/>
              </w:rPr>
            </w:pPr>
          </w:p>
        </w:tc>
      </w:tr>
      <w:tr>
        <w:tblPrEx>
          <w:tblCellMar>
            <w:top w:w="0" w:type="dxa"/>
            <w:left w:w="108" w:type="dxa"/>
            <w:bottom w:w="0" w:type="dxa"/>
            <w:right w:w="108" w:type="dxa"/>
          </w:tblCellMar>
        </w:tblPrEx>
        <w:trPr>
          <w:gridAfter w:val="1"/>
          <w:wAfter w:w="1780"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gridAfter w:val="1"/>
          <w:wAfter w:w="1780"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gridAfter w:val="1"/>
          <w:wAfter w:w="1780"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eastAsia="宋体" w:cs="宋体"/>
                <w:i w:val="0"/>
                <w:color w:val="000000"/>
                <w:kern w:val="0"/>
                <w:sz w:val="20"/>
                <w:szCs w:val="20"/>
                <w:u w:val="none"/>
                <w:lang w:val="en-US" w:eastAsia="zh-CN" w:bidi="ar"/>
              </w:rPr>
              <w:t>生产母牛成活率</w:t>
            </w:r>
            <w:r>
              <w:rPr>
                <w:rFonts w:hint="eastAsia" w:ascii="宋体" w:hAnsi="宋体" w:cs="宋体"/>
                <w:i w:val="0"/>
                <w:color w:val="000000"/>
                <w:kern w:val="0"/>
                <w:sz w:val="20"/>
                <w:szCs w:val="20"/>
                <w:u w:val="none"/>
                <w:lang w:val="en-US" w:eastAsia="zh-CN" w:bidi="ar"/>
              </w:rPr>
              <w:t>达到</w:t>
            </w:r>
            <w:r>
              <w:rPr>
                <w:rFonts w:hint="eastAsia" w:ascii="宋体" w:hAnsi="宋体" w:eastAsia="宋体" w:cs="宋体"/>
                <w:i w:val="0"/>
                <w:color w:val="000000"/>
                <w:kern w:val="0"/>
                <w:sz w:val="20"/>
                <w:szCs w:val="20"/>
                <w:u w:val="none"/>
                <w:lang w:val="en-US" w:eastAsia="zh-CN" w:bidi="ar"/>
              </w:rPr>
              <w:t>95％</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eastAsia="宋体" w:cs="宋体"/>
                <w:i w:val="0"/>
                <w:color w:val="000000"/>
                <w:kern w:val="0"/>
                <w:sz w:val="20"/>
                <w:szCs w:val="20"/>
                <w:u w:val="none"/>
                <w:lang w:val="en-US" w:eastAsia="zh-CN" w:bidi="ar"/>
              </w:rPr>
              <w:t>生产母牛成活率</w:t>
            </w:r>
            <w:r>
              <w:rPr>
                <w:rFonts w:hint="eastAsia" w:ascii="宋体" w:hAnsi="宋体" w:cs="宋体"/>
                <w:i w:val="0"/>
                <w:color w:val="000000"/>
                <w:kern w:val="0"/>
                <w:sz w:val="20"/>
                <w:szCs w:val="20"/>
                <w:u w:val="none"/>
                <w:lang w:val="en-US" w:eastAsia="zh-CN" w:bidi="ar"/>
              </w:rPr>
              <w:t>已达到</w:t>
            </w:r>
            <w:r>
              <w:rPr>
                <w:rFonts w:hint="eastAsia" w:ascii="宋体" w:hAnsi="宋体" w:eastAsia="宋体" w:cs="宋体"/>
                <w:i w:val="0"/>
                <w:color w:val="000000"/>
                <w:kern w:val="0"/>
                <w:sz w:val="20"/>
                <w:szCs w:val="20"/>
                <w:u w:val="none"/>
                <w:lang w:val="en-US" w:eastAsia="zh-CN" w:bidi="ar"/>
              </w:rPr>
              <w:t>95％</w:t>
            </w:r>
          </w:p>
        </w:tc>
      </w:tr>
      <w:tr>
        <w:tblPrEx>
          <w:tblCellMar>
            <w:top w:w="0" w:type="dxa"/>
            <w:left w:w="108" w:type="dxa"/>
            <w:bottom w:w="0" w:type="dxa"/>
            <w:right w:w="108" w:type="dxa"/>
          </w:tblCellMar>
        </w:tblPrEx>
        <w:trPr>
          <w:gridAfter w:val="1"/>
          <w:wAfter w:w="1780"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gridAfter w:val="1"/>
          <w:wAfter w:w="1780"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gridAfter w:val="1"/>
          <w:wAfter w:w="1780" w:type="dxa"/>
          <w:trHeight w:val="921"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ind w:left="200" w:hanging="200" w:hangingChars="100"/>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eastAsia="宋体" w:cs="宋体"/>
                <w:i w:val="0"/>
                <w:color w:val="000000"/>
                <w:kern w:val="0"/>
                <w:sz w:val="20"/>
                <w:szCs w:val="20"/>
                <w:u w:val="none"/>
                <w:lang w:val="en-US" w:eastAsia="zh-CN" w:bidi="ar"/>
              </w:rPr>
              <w:t>工程完成时限2019/9/30前</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cs="宋体"/>
                <w:kern w:val="0"/>
                <w:sz w:val="20"/>
                <w:szCs w:val="20"/>
                <w:lang w:val="en-US"/>
              </w:rPr>
            </w:pPr>
            <w:r>
              <w:rPr>
                <w:rFonts w:hint="eastAsia" w:ascii="宋体" w:hAnsi="宋体" w:cs="宋体"/>
                <w:kern w:val="0"/>
                <w:sz w:val="20"/>
                <w:szCs w:val="20"/>
              </w:rPr>
              <w:t>　</w:t>
            </w:r>
            <w:r>
              <w:rPr>
                <w:rFonts w:hint="eastAsia" w:ascii="宋体" w:hAnsi="宋体" w:eastAsia="宋体" w:cs="宋体"/>
                <w:i w:val="0"/>
                <w:color w:val="000000"/>
                <w:kern w:val="0"/>
                <w:sz w:val="20"/>
                <w:szCs w:val="20"/>
                <w:u w:val="none"/>
                <w:lang w:val="en-US" w:eastAsia="zh-CN" w:bidi="ar"/>
              </w:rPr>
              <w:t>工程完成时限2019</w:t>
            </w:r>
            <w:r>
              <w:rPr>
                <w:rFonts w:hint="eastAsia" w:ascii="宋体" w:hAnsi="宋体" w:cs="宋体"/>
                <w:i w:val="0"/>
                <w:color w:val="000000"/>
                <w:kern w:val="0"/>
                <w:sz w:val="20"/>
                <w:szCs w:val="20"/>
                <w:u w:val="none"/>
                <w:lang w:val="en-US" w:eastAsia="zh-CN" w:bidi="ar"/>
              </w:rPr>
              <w:t>年9月3日已发放到户</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ind w:left="400" w:hanging="400" w:hangingChars="200"/>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eastAsia="宋体" w:cs="宋体"/>
                <w:i w:val="0"/>
                <w:color w:val="000000"/>
                <w:kern w:val="0"/>
                <w:sz w:val="20"/>
                <w:szCs w:val="20"/>
                <w:u w:val="none"/>
                <w:lang w:val="en-US" w:eastAsia="zh-CN" w:bidi="ar"/>
              </w:rPr>
              <w:t>项目期限内工程量完成率100%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lang w:val="en-US" w:eastAsia="zh-CN" w:bidi="ar-SA"/>
              </w:rPr>
            </w:pPr>
            <w:r>
              <w:rPr>
                <w:rFonts w:hint="eastAsia" w:ascii="宋体" w:hAnsi="宋体" w:eastAsia="宋体" w:cs="宋体"/>
                <w:i w:val="0"/>
                <w:color w:val="000000"/>
                <w:kern w:val="0"/>
                <w:sz w:val="20"/>
                <w:szCs w:val="20"/>
                <w:u w:val="none"/>
                <w:lang w:val="en-US" w:eastAsia="zh-CN" w:bidi="ar"/>
              </w:rPr>
              <w:t>项目期限内工程量完成率100%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bidi="ar-SA"/>
              </w:rPr>
            </w:pPr>
            <w:r>
              <w:rPr>
                <w:rFonts w:hint="eastAsia" w:ascii="宋体" w:hAnsi="宋体" w:cs="宋体"/>
                <w:kern w:val="0"/>
                <w:sz w:val="20"/>
                <w:szCs w:val="20"/>
              </w:rPr>
              <w:t>　</w:t>
            </w:r>
          </w:p>
        </w:tc>
      </w:tr>
      <w:tr>
        <w:tblPrEx>
          <w:tblCellMar>
            <w:top w:w="0" w:type="dxa"/>
            <w:left w:w="108" w:type="dxa"/>
            <w:bottom w:w="0" w:type="dxa"/>
            <w:right w:w="108" w:type="dxa"/>
          </w:tblCellMar>
        </w:tblPrEx>
        <w:trPr>
          <w:gridAfter w:val="1"/>
          <w:wAfter w:w="1780"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gridAfter w:val="1"/>
          <w:wAfter w:w="1780"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eastAsia="宋体" w:cs="宋体"/>
                <w:i w:val="0"/>
                <w:color w:val="000000"/>
                <w:kern w:val="0"/>
                <w:sz w:val="20"/>
                <w:szCs w:val="20"/>
                <w:u w:val="none"/>
                <w:lang w:val="en-US" w:eastAsia="zh-CN" w:bidi="ar"/>
              </w:rPr>
              <w:t>生产母牛每头补助2万元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eastAsia="宋体" w:cs="宋体"/>
                <w:i w:val="0"/>
                <w:color w:val="000000"/>
                <w:kern w:val="0"/>
                <w:sz w:val="20"/>
                <w:szCs w:val="20"/>
                <w:u w:val="none"/>
                <w:lang w:val="en-US" w:eastAsia="zh-CN" w:bidi="ar"/>
              </w:rPr>
              <w:t>生产母牛每头补助</w:t>
            </w:r>
            <w:r>
              <w:rPr>
                <w:rFonts w:hint="eastAsia" w:ascii="宋体" w:hAnsi="宋体" w:cs="宋体"/>
                <w:i w:val="0"/>
                <w:color w:val="000000"/>
                <w:kern w:val="0"/>
                <w:sz w:val="20"/>
                <w:szCs w:val="20"/>
                <w:u w:val="none"/>
                <w:lang w:val="en-US" w:eastAsia="zh-CN" w:bidi="ar"/>
              </w:rPr>
              <w:t>19800</w:t>
            </w:r>
            <w:r>
              <w:rPr>
                <w:rFonts w:hint="eastAsia" w:ascii="宋体" w:hAnsi="宋体" w:eastAsia="宋体" w:cs="宋体"/>
                <w:i w:val="0"/>
                <w:color w:val="000000"/>
                <w:kern w:val="0"/>
                <w:sz w:val="20"/>
                <w:szCs w:val="20"/>
                <w:u w:val="none"/>
                <w:lang w:val="en-US" w:eastAsia="zh-CN" w:bidi="ar"/>
              </w:rPr>
              <w:t>元</w:t>
            </w:r>
          </w:p>
        </w:tc>
      </w:tr>
      <w:tr>
        <w:tblPrEx>
          <w:tblCellMar>
            <w:top w:w="0" w:type="dxa"/>
            <w:left w:w="108" w:type="dxa"/>
            <w:bottom w:w="0" w:type="dxa"/>
            <w:right w:w="108" w:type="dxa"/>
          </w:tblCellMar>
        </w:tblPrEx>
        <w:trPr>
          <w:gridAfter w:val="1"/>
          <w:wAfter w:w="1780"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gridAfter w:val="1"/>
          <w:wAfter w:w="1780" w:type="dxa"/>
          <w:trHeight w:val="27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gridAfter w:val="1"/>
          <w:wAfter w:w="1780" w:type="dxa"/>
          <w:trHeight w:val="24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gridAfter w:val="1"/>
          <w:wAfter w:w="1780"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eastAsia="宋体" w:cs="宋体"/>
                <w:i w:val="0"/>
                <w:color w:val="000000"/>
                <w:kern w:val="0"/>
                <w:sz w:val="20"/>
                <w:szCs w:val="20"/>
                <w:u w:val="none"/>
                <w:lang w:val="en-US" w:eastAsia="zh-CN" w:bidi="ar"/>
              </w:rPr>
              <w:t>预计贫困户每年增收≥3000元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w:t>
            </w:r>
            <w:r>
              <w:rPr>
                <w:rFonts w:hint="eastAsia" w:ascii="宋体" w:hAnsi="宋体" w:cs="宋体"/>
                <w:kern w:val="0"/>
                <w:sz w:val="20"/>
                <w:szCs w:val="20"/>
                <w:lang w:eastAsia="zh-CN"/>
              </w:rPr>
              <w:t>暂时未下牛犊</w:t>
            </w:r>
          </w:p>
        </w:tc>
      </w:tr>
      <w:tr>
        <w:tblPrEx>
          <w:tblCellMar>
            <w:top w:w="0" w:type="dxa"/>
            <w:left w:w="108" w:type="dxa"/>
            <w:bottom w:w="0" w:type="dxa"/>
            <w:right w:w="108" w:type="dxa"/>
          </w:tblCellMar>
        </w:tblPrEx>
        <w:trPr>
          <w:gridAfter w:val="1"/>
          <w:wAfter w:w="1780"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gridAfter w:val="1"/>
          <w:wAfter w:w="1780"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gridAfter w:val="1"/>
          <w:wAfter w:w="1780"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cs="宋体"/>
                <w:kern w:val="0"/>
                <w:sz w:val="20"/>
                <w:szCs w:val="20"/>
                <w:lang w:val="en-US"/>
              </w:rPr>
            </w:pPr>
            <w:r>
              <w:rPr>
                <w:rFonts w:hint="eastAsia" w:ascii="宋体" w:hAnsi="宋体" w:cs="宋体"/>
                <w:kern w:val="0"/>
                <w:sz w:val="20"/>
                <w:szCs w:val="20"/>
              </w:rPr>
              <w:t>　</w:t>
            </w:r>
            <w:r>
              <w:rPr>
                <w:rFonts w:hint="eastAsia" w:ascii="宋体" w:hAnsi="宋体" w:eastAsia="宋体" w:cs="宋体"/>
                <w:i w:val="0"/>
                <w:color w:val="000000"/>
                <w:kern w:val="0"/>
                <w:sz w:val="20"/>
                <w:szCs w:val="20"/>
                <w:u w:val="none"/>
                <w:lang w:val="en-US" w:eastAsia="zh-CN" w:bidi="ar"/>
              </w:rPr>
              <w:t>受益建档立卡贫困人户数</w:t>
            </w:r>
            <w:r>
              <w:rPr>
                <w:rFonts w:hint="eastAsia" w:ascii="宋体" w:hAnsi="宋体" w:cs="宋体"/>
                <w:i w:val="0"/>
                <w:color w:val="000000"/>
                <w:kern w:val="0"/>
                <w:sz w:val="20"/>
                <w:szCs w:val="20"/>
                <w:u w:val="none"/>
                <w:lang w:val="en-US" w:eastAsia="zh-CN" w:bidi="ar"/>
              </w:rPr>
              <w:t>27户</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eastAsia="宋体" w:cs="宋体"/>
                <w:i w:val="0"/>
                <w:color w:val="000000"/>
                <w:kern w:val="0"/>
                <w:sz w:val="20"/>
                <w:szCs w:val="20"/>
                <w:u w:val="none"/>
                <w:lang w:val="en-US" w:eastAsia="zh-CN" w:bidi="ar"/>
              </w:rPr>
              <w:t>受益建档立卡贫困人户数</w:t>
            </w:r>
            <w:r>
              <w:rPr>
                <w:rFonts w:hint="eastAsia" w:ascii="宋体" w:hAnsi="宋体" w:cs="宋体"/>
                <w:i w:val="0"/>
                <w:color w:val="000000"/>
                <w:kern w:val="0"/>
                <w:sz w:val="20"/>
                <w:szCs w:val="20"/>
                <w:u w:val="none"/>
                <w:lang w:val="en-US" w:eastAsia="zh-CN" w:bidi="ar"/>
              </w:rPr>
              <w:t>27户</w:t>
            </w:r>
          </w:p>
        </w:tc>
      </w:tr>
      <w:tr>
        <w:tblPrEx>
          <w:tblCellMar>
            <w:top w:w="0" w:type="dxa"/>
            <w:left w:w="108" w:type="dxa"/>
            <w:bottom w:w="0" w:type="dxa"/>
            <w:right w:w="108" w:type="dxa"/>
          </w:tblCellMar>
        </w:tblPrEx>
        <w:trPr>
          <w:gridAfter w:val="1"/>
          <w:wAfter w:w="1780" w:type="dxa"/>
          <w:trHeight w:val="36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gridAfter w:val="1"/>
          <w:wAfter w:w="1780" w:type="dxa"/>
          <w:trHeight w:val="36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gridAfter w:val="1"/>
          <w:wAfter w:w="1780"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eastAsia="宋体" w:cs="宋体"/>
                <w:i w:val="0"/>
                <w:color w:val="000000"/>
                <w:kern w:val="0"/>
                <w:sz w:val="20"/>
                <w:szCs w:val="20"/>
                <w:u w:val="none"/>
                <w:lang w:val="en-US" w:eastAsia="zh-CN" w:bidi="ar"/>
              </w:rPr>
              <w:t>牲畜粪便农家肥转化及使用率≥90％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牲畜粪便农家肥转化及使用率≥90％</w:t>
            </w:r>
            <w:r>
              <w:rPr>
                <w:rFonts w:hint="eastAsia" w:ascii="宋体" w:hAnsi="宋体" w:cs="宋体"/>
                <w:kern w:val="0"/>
                <w:sz w:val="20"/>
                <w:szCs w:val="20"/>
              </w:rPr>
              <w:t>　</w:t>
            </w:r>
          </w:p>
        </w:tc>
      </w:tr>
      <w:tr>
        <w:tblPrEx>
          <w:tblCellMar>
            <w:top w:w="0" w:type="dxa"/>
            <w:left w:w="108" w:type="dxa"/>
            <w:bottom w:w="0" w:type="dxa"/>
            <w:right w:w="108" w:type="dxa"/>
          </w:tblCellMar>
        </w:tblPrEx>
        <w:trPr>
          <w:gridAfter w:val="1"/>
          <w:wAfter w:w="1780" w:type="dxa"/>
          <w:trHeight w:val="39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gridAfter w:val="1"/>
          <w:wAfter w:w="1780" w:type="dxa"/>
          <w:trHeight w:val="345"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gridAfter w:val="1"/>
          <w:wAfter w:w="1780"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cs="宋体"/>
                <w:kern w:val="0"/>
                <w:sz w:val="20"/>
                <w:szCs w:val="20"/>
                <w:lang w:val="en-US"/>
              </w:rPr>
            </w:pPr>
            <w:r>
              <w:rPr>
                <w:rFonts w:hint="eastAsia" w:ascii="宋体" w:hAnsi="宋体" w:cs="宋体"/>
                <w:kern w:val="0"/>
                <w:sz w:val="20"/>
                <w:szCs w:val="20"/>
              </w:rPr>
              <w:t>　</w:t>
            </w:r>
            <w:r>
              <w:rPr>
                <w:rFonts w:hint="eastAsia" w:ascii="宋体" w:hAnsi="宋体" w:eastAsia="宋体" w:cs="宋体"/>
                <w:i w:val="0"/>
                <w:color w:val="000000"/>
                <w:kern w:val="0"/>
                <w:sz w:val="20"/>
                <w:szCs w:val="20"/>
                <w:u w:val="none"/>
                <w:lang w:val="en-US" w:eastAsia="zh-CN" w:bidi="ar"/>
              </w:rPr>
              <w:t>形成稳定增收产业贫困户规模</w:t>
            </w:r>
            <w:r>
              <w:rPr>
                <w:rFonts w:hint="eastAsia" w:ascii="宋体" w:hAnsi="宋体" w:cs="宋体"/>
                <w:i w:val="0"/>
                <w:color w:val="000000"/>
                <w:kern w:val="0"/>
                <w:sz w:val="20"/>
                <w:szCs w:val="20"/>
                <w:u w:val="none"/>
                <w:lang w:val="en-US" w:eastAsia="zh-CN" w:bidi="ar"/>
              </w:rPr>
              <w:t>27户</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eastAsia="宋体" w:cs="宋体"/>
                <w:i w:val="0"/>
                <w:color w:val="000000"/>
                <w:kern w:val="0"/>
                <w:sz w:val="20"/>
                <w:szCs w:val="20"/>
                <w:u w:val="none"/>
                <w:lang w:val="en-US" w:eastAsia="zh-CN" w:bidi="ar"/>
              </w:rPr>
              <w:t>形成稳定增收产业贫困户规模</w:t>
            </w:r>
            <w:r>
              <w:rPr>
                <w:rFonts w:hint="eastAsia" w:ascii="宋体" w:hAnsi="宋体" w:cs="宋体"/>
                <w:i w:val="0"/>
                <w:color w:val="000000"/>
                <w:kern w:val="0"/>
                <w:sz w:val="20"/>
                <w:szCs w:val="20"/>
                <w:u w:val="none"/>
                <w:lang w:val="en-US" w:eastAsia="zh-CN" w:bidi="ar"/>
              </w:rPr>
              <w:t>27户</w:t>
            </w:r>
          </w:p>
        </w:tc>
      </w:tr>
      <w:tr>
        <w:tblPrEx>
          <w:tblCellMar>
            <w:top w:w="0" w:type="dxa"/>
            <w:left w:w="108" w:type="dxa"/>
            <w:bottom w:w="0" w:type="dxa"/>
            <w:right w:w="108" w:type="dxa"/>
          </w:tblCellMar>
        </w:tblPrEx>
        <w:trPr>
          <w:gridAfter w:val="1"/>
          <w:wAfter w:w="1780"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gridAfter w:val="1"/>
          <w:wAfter w:w="1780" w:type="dxa"/>
          <w:trHeight w:val="315"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gridAfter w:val="1"/>
          <w:wAfter w:w="1780" w:type="dxa"/>
          <w:trHeight w:val="375"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gridAfter w:val="1"/>
          <w:wAfter w:w="1780"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项目受益户满意度</w:t>
            </w:r>
            <w:r>
              <w:rPr>
                <w:rStyle w:val="46"/>
                <w:lang w:val="en-US" w:eastAsia="zh-CN" w:bidi="ar"/>
              </w:rPr>
              <w:t>≥95</w:t>
            </w:r>
            <w:r>
              <w:rPr>
                <w:rStyle w:val="47"/>
                <w:lang w:val="en-US" w:eastAsia="zh-CN" w:bidi="ar"/>
              </w:rPr>
              <w:t>％</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cs="宋体"/>
                <w:kern w:val="0"/>
                <w:sz w:val="20"/>
                <w:szCs w:val="20"/>
                <w:lang w:val="en-US"/>
              </w:rPr>
            </w:pPr>
            <w:r>
              <w:rPr>
                <w:rFonts w:hint="eastAsia" w:ascii="宋体" w:hAnsi="宋体" w:eastAsia="宋体" w:cs="宋体"/>
                <w:i w:val="0"/>
                <w:color w:val="000000"/>
                <w:kern w:val="0"/>
                <w:sz w:val="20"/>
                <w:szCs w:val="20"/>
                <w:u w:val="none"/>
                <w:lang w:val="en-US" w:eastAsia="zh-CN" w:bidi="ar"/>
              </w:rPr>
              <w:t>项目受益户满意度</w:t>
            </w:r>
            <w:r>
              <w:rPr>
                <w:rStyle w:val="46"/>
                <w:lang w:val="en-US" w:eastAsia="zh-CN" w:bidi="ar"/>
              </w:rPr>
              <w:t>≥</w:t>
            </w:r>
            <w:r>
              <w:rPr>
                <w:rStyle w:val="46"/>
                <w:rFonts w:hint="eastAsia"/>
                <w:lang w:val="en-US" w:eastAsia="zh-CN" w:bidi="ar"/>
              </w:rPr>
              <w:t>100%</w:t>
            </w:r>
          </w:p>
        </w:tc>
      </w:tr>
      <w:tr>
        <w:tblPrEx>
          <w:tblCellMar>
            <w:top w:w="0" w:type="dxa"/>
            <w:left w:w="108" w:type="dxa"/>
            <w:bottom w:w="0" w:type="dxa"/>
            <w:right w:w="108" w:type="dxa"/>
          </w:tblCellMar>
        </w:tblPrEx>
        <w:trPr>
          <w:gridAfter w:val="1"/>
          <w:wAfter w:w="1780"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贫困村群众对项目实施情况满意度≥90％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贫困村群众对项目实施情况满意度≥</w:t>
            </w:r>
            <w:r>
              <w:rPr>
                <w:rFonts w:hint="eastAsia" w:ascii="宋体" w:hAnsi="宋体" w:cs="宋体"/>
                <w:i w:val="0"/>
                <w:color w:val="000000"/>
                <w:kern w:val="0"/>
                <w:sz w:val="20"/>
                <w:szCs w:val="20"/>
                <w:u w:val="none"/>
                <w:lang w:val="en-US" w:eastAsia="zh-CN" w:bidi="ar"/>
              </w:rPr>
              <w:t>100</w:t>
            </w:r>
            <w:r>
              <w:rPr>
                <w:rFonts w:hint="eastAsia" w:ascii="宋体" w:hAnsi="宋体" w:eastAsia="宋体" w:cs="宋体"/>
                <w:i w:val="0"/>
                <w:color w:val="000000"/>
                <w:kern w:val="0"/>
                <w:sz w:val="20"/>
                <w:szCs w:val="20"/>
                <w:u w:val="none"/>
                <w:lang w:val="en-US" w:eastAsia="zh-CN" w:bidi="ar"/>
              </w:rPr>
              <w:t>％</w:t>
            </w:r>
          </w:p>
        </w:tc>
      </w:tr>
      <w:tr>
        <w:tblPrEx>
          <w:tblCellMar>
            <w:top w:w="0" w:type="dxa"/>
            <w:left w:w="108" w:type="dxa"/>
            <w:bottom w:w="0" w:type="dxa"/>
            <w:right w:w="108" w:type="dxa"/>
          </w:tblCellMar>
        </w:tblPrEx>
        <w:trPr>
          <w:gridAfter w:val="1"/>
          <w:wAfter w:w="1780"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gridAfter w:val="1"/>
          <w:wAfter w:w="1780"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p>
      <w:pPr>
        <w:tabs>
          <w:tab w:val="left" w:pos="2197"/>
        </w:tabs>
        <w:bidi w:val="0"/>
        <w:jc w:val="left"/>
        <w:rPr>
          <w:rStyle w:val="18"/>
          <w:rFonts w:hint="default" w:ascii="仿宋" w:hAnsi="仿宋" w:eastAsia="仿宋"/>
          <w:b w:val="0"/>
          <w:spacing w:val="-4"/>
          <w:sz w:val="32"/>
          <w:szCs w:val="32"/>
          <w:lang w:val="en-US" w:eastAsia="zh-CN"/>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85ECDF"/>
    <w:multiLevelType w:val="singleLevel"/>
    <w:tmpl w:val="7085ECD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21482D"/>
    <w:rsid w:val="002279A4"/>
    <w:rsid w:val="002574E5"/>
    <w:rsid w:val="002C4BB1"/>
    <w:rsid w:val="003908B7"/>
    <w:rsid w:val="00410206"/>
    <w:rsid w:val="004366A8"/>
    <w:rsid w:val="00502BA7"/>
    <w:rsid w:val="005162F1"/>
    <w:rsid w:val="00535153"/>
    <w:rsid w:val="00554F82"/>
    <w:rsid w:val="0056390D"/>
    <w:rsid w:val="005719B0"/>
    <w:rsid w:val="005D10D6"/>
    <w:rsid w:val="00692944"/>
    <w:rsid w:val="006E6BB4"/>
    <w:rsid w:val="00780A6F"/>
    <w:rsid w:val="00855E3A"/>
    <w:rsid w:val="00922CB9"/>
    <w:rsid w:val="009838B7"/>
    <w:rsid w:val="009B0A0F"/>
    <w:rsid w:val="009E5CD9"/>
    <w:rsid w:val="00A26421"/>
    <w:rsid w:val="00A4293B"/>
    <w:rsid w:val="00A67D50"/>
    <w:rsid w:val="00A8691A"/>
    <w:rsid w:val="00AC1946"/>
    <w:rsid w:val="00AF30EA"/>
    <w:rsid w:val="00B40063"/>
    <w:rsid w:val="00B41F61"/>
    <w:rsid w:val="00BA46E6"/>
    <w:rsid w:val="00C56C72"/>
    <w:rsid w:val="00CA6457"/>
    <w:rsid w:val="00CC201C"/>
    <w:rsid w:val="00D17F2E"/>
    <w:rsid w:val="00D25540"/>
    <w:rsid w:val="00D30354"/>
    <w:rsid w:val="00DE3ECB"/>
    <w:rsid w:val="00DF42A0"/>
    <w:rsid w:val="00E2323E"/>
    <w:rsid w:val="00E7203D"/>
    <w:rsid w:val="00E769FE"/>
    <w:rsid w:val="00EA2CBE"/>
    <w:rsid w:val="00F32FEE"/>
    <w:rsid w:val="00FB10BB"/>
    <w:rsid w:val="00FE01C7"/>
    <w:rsid w:val="01B978F3"/>
    <w:rsid w:val="027D09DB"/>
    <w:rsid w:val="02DB6C8A"/>
    <w:rsid w:val="03714766"/>
    <w:rsid w:val="03FC498C"/>
    <w:rsid w:val="04E134D1"/>
    <w:rsid w:val="051B6739"/>
    <w:rsid w:val="055B693D"/>
    <w:rsid w:val="06041368"/>
    <w:rsid w:val="06214911"/>
    <w:rsid w:val="06461557"/>
    <w:rsid w:val="0714628A"/>
    <w:rsid w:val="07AB377E"/>
    <w:rsid w:val="083D1538"/>
    <w:rsid w:val="08AD427E"/>
    <w:rsid w:val="094C67B3"/>
    <w:rsid w:val="095C0DCF"/>
    <w:rsid w:val="09BF3AFC"/>
    <w:rsid w:val="0A0E3517"/>
    <w:rsid w:val="0BA8302E"/>
    <w:rsid w:val="0BF7643F"/>
    <w:rsid w:val="0C331551"/>
    <w:rsid w:val="0C5E18AF"/>
    <w:rsid w:val="0CD20759"/>
    <w:rsid w:val="0D153650"/>
    <w:rsid w:val="0D433472"/>
    <w:rsid w:val="0D531130"/>
    <w:rsid w:val="0DA1009F"/>
    <w:rsid w:val="0DCD0460"/>
    <w:rsid w:val="0DF80F79"/>
    <w:rsid w:val="0EF74114"/>
    <w:rsid w:val="0F315355"/>
    <w:rsid w:val="0FC14430"/>
    <w:rsid w:val="110A4509"/>
    <w:rsid w:val="113011F6"/>
    <w:rsid w:val="114377CC"/>
    <w:rsid w:val="117B4BF0"/>
    <w:rsid w:val="11F7370C"/>
    <w:rsid w:val="13F25F5C"/>
    <w:rsid w:val="140201E1"/>
    <w:rsid w:val="143735FE"/>
    <w:rsid w:val="150814BE"/>
    <w:rsid w:val="15476F90"/>
    <w:rsid w:val="15CB2205"/>
    <w:rsid w:val="15CD6473"/>
    <w:rsid w:val="15D97876"/>
    <w:rsid w:val="15F42760"/>
    <w:rsid w:val="17680F90"/>
    <w:rsid w:val="176A0BE4"/>
    <w:rsid w:val="17772F2A"/>
    <w:rsid w:val="18B53FBC"/>
    <w:rsid w:val="18CE1FB0"/>
    <w:rsid w:val="197135F1"/>
    <w:rsid w:val="1A81285F"/>
    <w:rsid w:val="1A8610C8"/>
    <w:rsid w:val="1BC96D45"/>
    <w:rsid w:val="1BEC4477"/>
    <w:rsid w:val="1C374A3B"/>
    <w:rsid w:val="1CA97021"/>
    <w:rsid w:val="1CBA5CFD"/>
    <w:rsid w:val="1D344A38"/>
    <w:rsid w:val="1E4F2219"/>
    <w:rsid w:val="1E894DE3"/>
    <w:rsid w:val="1E9416D1"/>
    <w:rsid w:val="1EF41B30"/>
    <w:rsid w:val="1EF86671"/>
    <w:rsid w:val="1F800FD5"/>
    <w:rsid w:val="1FAD333B"/>
    <w:rsid w:val="1FB56D53"/>
    <w:rsid w:val="1FC97144"/>
    <w:rsid w:val="1FD55F6E"/>
    <w:rsid w:val="1FF43BEF"/>
    <w:rsid w:val="21B132B0"/>
    <w:rsid w:val="21B81F57"/>
    <w:rsid w:val="22DA603F"/>
    <w:rsid w:val="23A7584A"/>
    <w:rsid w:val="23F23001"/>
    <w:rsid w:val="23FE1087"/>
    <w:rsid w:val="244B22D9"/>
    <w:rsid w:val="269A44D0"/>
    <w:rsid w:val="273D0AEB"/>
    <w:rsid w:val="27945297"/>
    <w:rsid w:val="295F6EEA"/>
    <w:rsid w:val="2B363F21"/>
    <w:rsid w:val="2CAF235F"/>
    <w:rsid w:val="2CC82179"/>
    <w:rsid w:val="2D0E6BF2"/>
    <w:rsid w:val="2DA6082F"/>
    <w:rsid w:val="2DA66BF0"/>
    <w:rsid w:val="2DC118BC"/>
    <w:rsid w:val="2DF962CB"/>
    <w:rsid w:val="2E6A310A"/>
    <w:rsid w:val="2EA0157C"/>
    <w:rsid w:val="30D850DE"/>
    <w:rsid w:val="30F34B95"/>
    <w:rsid w:val="310E2930"/>
    <w:rsid w:val="318D3596"/>
    <w:rsid w:val="3263758C"/>
    <w:rsid w:val="329F36B6"/>
    <w:rsid w:val="32F34436"/>
    <w:rsid w:val="3357207B"/>
    <w:rsid w:val="336C2201"/>
    <w:rsid w:val="33735CC4"/>
    <w:rsid w:val="33754167"/>
    <w:rsid w:val="342A45DC"/>
    <w:rsid w:val="3471333F"/>
    <w:rsid w:val="359F3093"/>
    <w:rsid w:val="35D45105"/>
    <w:rsid w:val="36226560"/>
    <w:rsid w:val="37C01A92"/>
    <w:rsid w:val="37F12ECA"/>
    <w:rsid w:val="38C84BFD"/>
    <w:rsid w:val="39734ECD"/>
    <w:rsid w:val="397A7DA4"/>
    <w:rsid w:val="39BE14B3"/>
    <w:rsid w:val="39D845D6"/>
    <w:rsid w:val="3BE503CB"/>
    <w:rsid w:val="3C6128EB"/>
    <w:rsid w:val="3C8A103C"/>
    <w:rsid w:val="3CAF7B4D"/>
    <w:rsid w:val="3CB0096F"/>
    <w:rsid w:val="3D0F1F1E"/>
    <w:rsid w:val="3D1C75E9"/>
    <w:rsid w:val="3D5C10C4"/>
    <w:rsid w:val="3EEF2642"/>
    <w:rsid w:val="3F05729D"/>
    <w:rsid w:val="3F7B23AE"/>
    <w:rsid w:val="3F846886"/>
    <w:rsid w:val="40AB1ED5"/>
    <w:rsid w:val="40E375DA"/>
    <w:rsid w:val="418078EF"/>
    <w:rsid w:val="42303809"/>
    <w:rsid w:val="42892381"/>
    <w:rsid w:val="439A6CA5"/>
    <w:rsid w:val="441C2C1F"/>
    <w:rsid w:val="443411FD"/>
    <w:rsid w:val="44F54DDD"/>
    <w:rsid w:val="44F603AC"/>
    <w:rsid w:val="45296C77"/>
    <w:rsid w:val="45965D00"/>
    <w:rsid w:val="46C57CE6"/>
    <w:rsid w:val="4703176F"/>
    <w:rsid w:val="4771688D"/>
    <w:rsid w:val="47D56E69"/>
    <w:rsid w:val="47D77DC3"/>
    <w:rsid w:val="49192922"/>
    <w:rsid w:val="49235A14"/>
    <w:rsid w:val="49B24492"/>
    <w:rsid w:val="49D27EA1"/>
    <w:rsid w:val="4A576A56"/>
    <w:rsid w:val="4A6B4576"/>
    <w:rsid w:val="4AE63458"/>
    <w:rsid w:val="4B474467"/>
    <w:rsid w:val="4B9B3CFC"/>
    <w:rsid w:val="4BFE4E43"/>
    <w:rsid w:val="4CED5B21"/>
    <w:rsid w:val="4D1671BC"/>
    <w:rsid w:val="4E3A38A7"/>
    <w:rsid w:val="4E860548"/>
    <w:rsid w:val="4F226579"/>
    <w:rsid w:val="4FD74730"/>
    <w:rsid w:val="4FF2672D"/>
    <w:rsid w:val="51287297"/>
    <w:rsid w:val="513F6494"/>
    <w:rsid w:val="51435C91"/>
    <w:rsid w:val="519F4857"/>
    <w:rsid w:val="520D04BE"/>
    <w:rsid w:val="524B3080"/>
    <w:rsid w:val="535D59AB"/>
    <w:rsid w:val="5387775B"/>
    <w:rsid w:val="55E904AA"/>
    <w:rsid w:val="567805BB"/>
    <w:rsid w:val="56CE4AC0"/>
    <w:rsid w:val="578D49D5"/>
    <w:rsid w:val="582277E4"/>
    <w:rsid w:val="58E91F76"/>
    <w:rsid w:val="593C1381"/>
    <w:rsid w:val="59A211D7"/>
    <w:rsid w:val="5ACE47E7"/>
    <w:rsid w:val="5B4D732D"/>
    <w:rsid w:val="5B786604"/>
    <w:rsid w:val="5BB354CA"/>
    <w:rsid w:val="5BF21EDA"/>
    <w:rsid w:val="5C4645A8"/>
    <w:rsid w:val="5DA621F0"/>
    <w:rsid w:val="5E0607F3"/>
    <w:rsid w:val="5EB22E2D"/>
    <w:rsid w:val="5F001F36"/>
    <w:rsid w:val="5FA64970"/>
    <w:rsid w:val="61471A86"/>
    <w:rsid w:val="61635A35"/>
    <w:rsid w:val="6191763E"/>
    <w:rsid w:val="61C70397"/>
    <w:rsid w:val="62005394"/>
    <w:rsid w:val="621E55EB"/>
    <w:rsid w:val="62903215"/>
    <w:rsid w:val="63361153"/>
    <w:rsid w:val="63627787"/>
    <w:rsid w:val="640645FD"/>
    <w:rsid w:val="647F62D3"/>
    <w:rsid w:val="66914CA4"/>
    <w:rsid w:val="66D44ED6"/>
    <w:rsid w:val="66DA3761"/>
    <w:rsid w:val="66E93369"/>
    <w:rsid w:val="670D5DF8"/>
    <w:rsid w:val="677D2072"/>
    <w:rsid w:val="684443FB"/>
    <w:rsid w:val="68C02762"/>
    <w:rsid w:val="68F42125"/>
    <w:rsid w:val="69FD4C6C"/>
    <w:rsid w:val="6A3B288B"/>
    <w:rsid w:val="6B233ECA"/>
    <w:rsid w:val="6C6B7F45"/>
    <w:rsid w:val="6D0C09B5"/>
    <w:rsid w:val="6DF4294C"/>
    <w:rsid w:val="6E23430C"/>
    <w:rsid w:val="6E522810"/>
    <w:rsid w:val="70433FEF"/>
    <w:rsid w:val="70B76E2B"/>
    <w:rsid w:val="712D70D3"/>
    <w:rsid w:val="7161436B"/>
    <w:rsid w:val="71614415"/>
    <w:rsid w:val="718B12CD"/>
    <w:rsid w:val="71D223A8"/>
    <w:rsid w:val="71FC7ED4"/>
    <w:rsid w:val="721F433E"/>
    <w:rsid w:val="7225048B"/>
    <w:rsid w:val="73416582"/>
    <w:rsid w:val="736A66E0"/>
    <w:rsid w:val="74BA07C0"/>
    <w:rsid w:val="74EC7612"/>
    <w:rsid w:val="74F041A2"/>
    <w:rsid w:val="756D1AD3"/>
    <w:rsid w:val="75C512EE"/>
    <w:rsid w:val="75F3414F"/>
    <w:rsid w:val="75F810ED"/>
    <w:rsid w:val="773672EF"/>
    <w:rsid w:val="781E34CB"/>
    <w:rsid w:val="78415374"/>
    <w:rsid w:val="794275EC"/>
    <w:rsid w:val="7A687BBE"/>
    <w:rsid w:val="7B814964"/>
    <w:rsid w:val="7BE32F4F"/>
    <w:rsid w:val="7C5152FB"/>
    <w:rsid w:val="7CDB153F"/>
    <w:rsid w:val="7D482FC7"/>
    <w:rsid w:val="7E417285"/>
    <w:rsid w:val="7E9F1117"/>
    <w:rsid w:val="7ECF5D08"/>
    <w:rsid w:val="7EE31657"/>
    <w:rsid w:val="7EEA7F8A"/>
    <w:rsid w:val="7F3143E5"/>
    <w:rsid w:val="7F47499C"/>
    <w:rsid w:val="7FCF02B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3"/>
    <w:qFormat/>
    <w:uiPriority w:val="9"/>
    <w:rPr>
      <w:rFonts w:asciiTheme="majorHAnsi" w:hAnsiTheme="majorHAnsi" w:eastAsiaTheme="majorEastAsia"/>
      <w:b/>
      <w:bCs/>
      <w:kern w:val="32"/>
      <w:sz w:val="32"/>
      <w:szCs w:val="32"/>
    </w:rPr>
  </w:style>
  <w:style w:type="character" w:customStyle="1" w:styleId="21">
    <w:name w:val="标题 2 Char"/>
    <w:basedOn w:val="17"/>
    <w:link w:val="4"/>
    <w:semiHidden/>
    <w:qFormat/>
    <w:uiPriority w:val="9"/>
    <w:rPr>
      <w:rFonts w:asciiTheme="majorHAnsi" w:hAnsiTheme="majorHAnsi" w:eastAsiaTheme="majorEastAsia"/>
      <w:b/>
      <w:bCs/>
      <w:i/>
      <w:iCs/>
      <w:sz w:val="28"/>
      <w:szCs w:val="28"/>
    </w:rPr>
  </w:style>
  <w:style w:type="character" w:customStyle="1" w:styleId="22">
    <w:name w:val="标题 3 Char"/>
    <w:basedOn w:val="17"/>
    <w:link w:val="2"/>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7"/>
    <w:qFormat/>
    <w:uiPriority w:val="21"/>
    <w:rPr>
      <w:b/>
      <w:i/>
      <w:sz w:val="24"/>
      <w:szCs w:val="24"/>
      <w:u w:val="single"/>
    </w:rPr>
  </w:style>
  <w:style w:type="character" w:customStyle="1" w:styleId="39">
    <w:name w:val="Subtle Reference"/>
    <w:basedOn w:val="17"/>
    <w:qFormat/>
    <w:uiPriority w:val="31"/>
    <w:rPr>
      <w:sz w:val="24"/>
      <w:szCs w:val="24"/>
      <w:u w:val="single"/>
    </w:rPr>
  </w:style>
  <w:style w:type="character" w:customStyle="1" w:styleId="40">
    <w:name w:val="Intense Reference"/>
    <w:basedOn w:val="17"/>
    <w:qFormat/>
    <w:uiPriority w:val="32"/>
    <w:rPr>
      <w:b/>
      <w:sz w:val="24"/>
      <w:u w:val="single"/>
    </w:rPr>
  </w:style>
  <w:style w:type="character" w:customStyle="1" w:styleId="41">
    <w:name w:val="Book Title"/>
    <w:basedOn w:val="17"/>
    <w:qFormat/>
    <w:uiPriority w:val="33"/>
    <w:rPr>
      <w:rFonts w:asciiTheme="majorHAnsi" w:hAnsiTheme="majorHAnsi" w:eastAsiaTheme="majorEastAsia"/>
      <w:b/>
      <w:i/>
      <w:sz w:val="24"/>
      <w:szCs w:val="24"/>
    </w:rPr>
  </w:style>
  <w:style w:type="paragraph" w:customStyle="1" w:styleId="42">
    <w:name w:val="TOC Heading"/>
    <w:basedOn w:val="3"/>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 w:type="character" w:customStyle="1" w:styleId="46">
    <w:name w:val="font11"/>
    <w:basedOn w:val="17"/>
    <w:qFormat/>
    <w:uiPriority w:val="0"/>
    <w:rPr>
      <w:rFonts w:hint="eastAsia" w:ascii="宋体" w:hAnsi="宋体" w:eastAsia="宋体" w:cs="宋体"/>
      <w:color w:val="000000"/>
      <w:sz w:val="20"/>
      <w:szCs w:val="20"/>
      <w:u w:val="none"/>
    </w:rPr>
  </w:style>
  <w:style w:type="character" w:customStyle="1" w:styleId="47">
    <w:name w:val="font71"/>
    <w:basedOn w:val="17"/>
    <w:qFormat/>
    <w:uiPriority w:val="0"/>
    <w:rPr>
      <w:rFonts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198</Words>
  <Characters>1133</Characters>
  <Lines>9</Lines>
  <Paragraphs>2</Paragraphs>
  <TotalTime>0</TotalTime>
  <ScaleCrop>false</ScaleCrop>
  <LinksUpToDate>false</LinksUpToDate>
  <CharactersWithSpaces>1329</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2019-12-25T10:39:36Z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