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both"/>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若羌县财政扶贫项目支出绩效自评报告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项目名称：租赁500亩</w:t>
      </w:r>
      <w:r>
        <w:rPr>
          <w:rFonts w:hint="eastAsia" w:hAnsi="宋体" w:eastAsia="仿宋_GB2312" w:cs="宋体"/>
          <w:kern w:val="0"/>
          <w:sz w:val="36"/>
          <w:szCs w:val="36"/>
          <w:lang w:val="en-US" w:eastAsia="zh-CN"/>
        </w:rPr>
        <w:t>饲草基地配套机械设备项目（饲草收割打包粉碎一体机、缠膜机、前置割草机、拢草机、拖拉机）</w:t>
      </w:r>
    </w:p>
    <w:p>
      <w:pPr>
        <w:spacing w:line="700" w:lineRule="exact"/>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实施单位（公章）：</w:t>
      </w:r>
      <w:r>
        <w:rPr>
          <w:rFonts w:hint="eastAsia" w:hAnsi="宋体" w:eastAsia="仿宋_GB2312" w:cs="宋体"/>
          <w:kern w:val="0"/>
          <w:sz w:val="36"/>
          <w:szCs w:val="36"/>
          <w:lang w:val="en-US" w:eastAsia="zh-CN"/>
        </w:rPr>
        <w:t>祁曼塔格村村民委员会</w:t>
      </w:r>
    </w:p>
    <w:p>
      <w:pPr>
        <w:spacing w:line="700" w:lineRule="exact"/>
        <w:jc w:val="left"/>
        <w:rPr>
          <w:rFonts w:hint="eastAsia" w:hAnsi="宋体" w:eastAsia="仿宋_GB2312" w:cs="宋体"/>
          <w:kern w:val="0"/>
          <w:sz w:val="36"/>
          <w:szCs w:val="36"/>
        </w:rPr>
      </w:pPr>
    </w:p>
    <w:p>
      <w:pPr>
        <w:spacing w:line="700" w:lineRule="exact"/>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祁曼塔格乡人民政府</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项目负责人（签章）：玉素甫·艾麦尔</w:t>
      </w:r>
    </w:p>
    <w:p>
      <w:pPr>
        <w:spacing w:line="700" w:lineRule="exact"/>
        <w:jc w:val="left"/>
        <w:rPr>
          <w:rFonts w:hint="eastAsia" w:hAnsi="宋体" w:eastAsia="仿宋_GB2312" w:cs="宋体"/>
          <w:kern w:val="0"/>
          <w:sz w:val="36"/>
          <w:szCs w:val="36"/>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 xml:space="preserve">  2019 </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10</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 xml:space="preserve"> 28 </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widowControl/>
        <w:ind w:firstLine="640" w:firstLineChars="200"/>
        <w:rPr>
          <w:rFonts w:hint="eastAsia" w:ascii="仿宋_GB2312" w:hAnsi="宋体" w:eastAsia="仿宋_GB2312"/>
          <w:sz w:val="32"/>
        </w:rPr>
      </w:pPr>
      <w:r>
        <w:rPr>
          <w:rFonts w:hint="eastAsia" w:ascii="仿宋_GB2312" w:hAnsi="宋体" w:eastAsia="仿宋_GB2312"/>
          <w:sz w:val="32"/>
        </w:rPr>
        <w:t>祁曼塔格乡人民政府位于若羌县城东南部，是若羌县重要的畜牧业生产基地。乡政府驻地的祁曼塔格村，位于羌塘高原北端，阿尔金山以东、昆仑山以北、祁曼塔格山南麓的库姆库勒高原盆地之间的依协克帕提，平均海拔4500米。距依吞布拉克镇200公里，距若羌县城480余公里，距州府所在地库尔勒市920余公里。全年多风，属典型的高原荒漠干旱气候。自然环境恶劣，生活、生产条件艰苦，是五类艰苦边远地区。年平均气温1.4℃，7月份平均气温13.5℃，极端高温28℃，1月份平均气温-12.4℃，极端低温-31.3℃。平均降水量50.3mm，最大冻土深度250cm，无霜期150天。</w:t>
      </w:r>
    </w:p>
    <w:p>
      <w:pPr>
        <w:widowControl/>
        <w:ind w:firstLine="640" w:firstLineChars="200"/>
        <w:rPr>
          <w:rFonts w:hint="eastAsia" w:ascii="仿宋_GB2312" w:hAnsi="宋体" w:eastAsia="仿宋_GB2312"/>
          <w:sz w:val="32"/>
        </w:rPr>
      </w:pPr>
      <w:r>
        <w:rPr>
          <w:rFonts w:hint="eastAsia" w:ascii="仿宋_GB2312" w:hAnsi="宋体" w:eastAsia="仿宋_GB2312"/>
          <w:sz w:val="32"/>
        </w:rPr>
        <w:t>全村总面积2.2万平方千米，其中草场面积573513亩，无耕地，放养的牲畜主要以羊、牛为主，辅以少量的马、骆驼和毛驴。村集体年收入</w:t>
      </w:r>
      <w:r>
        <w:rPr>
          <w:rFonts w:hint="eastAsia" w:ascii="仿宋_GB2312" w:hAnsi="宋体" w:eastAsia="仿宋_GB2312"/>
          <w:sz w:val="32"/>
          <w:lang w:val="en-US" w:eastAsia="zh-CN"/>
        </w:rPr>
        <w:t>10.8</w:t>
      </w:r>
      <w:r>
        <w:rPr>
          <w:rFonts w:hint="eastAsia" w:ascii="仿宋_GB2312" w:hAnsi="宋体" w:eastAsia="仿宋_GB2312"/>
          <w:sz w:val="32"/>
        </w:rPr>
        <w:t>万元，201</w:t>
      </w:r>
      <w:r>
        <w:rPr>
          <w:rFonts w:hint="eastAsia" w:ascii="仿宋_GB2312" w:hAnsi="宋体" w:eastAsia="仿宋_GB2312"/>
          <w:sz w:val="32"/>
          <w:lang w:val="en-US" w:eastAsia="zh-CN"/>
        </w:rPr>
        <w:t>8</w:t>
      </w:r>
      <w:r>
        <w:rPr>
          <w:rFonts w:hint="eastAsia" w:ascii="仿宋_GB2312" w:hAnsi="宋体" w:eastAsia="仿宋_GB2312"/>
          <w:sz w:val="32"/>
        </w:rPr>
        <w:t>年农牧民人均纯收入为</w:t>
      </w:r>
      <w:r>
        <w:rPr>
          <w:rFonts w:hint="eastAsia" w:ascii="仿宋_GB2312" w:hAnsi="宋体" w:eastAsia="仿宋_GB2312"/>
          <w:sz w:val="32"/>
          <w:lang w:val="en-US" w:eastAsia="zh-CN"/>
        </w:rPr>
        <w:t>5600</w:t>
      </w:r>
      <w:r>
        <w:rPr>
          <w:rFonts w:hint="eastAsia" w:ascii="仿宋_GB2312" w:hAnsi="宋体" w:eastAsia="仿宋_GB2312"/>
          <w:sz w:val="32"/>
        </w:rPr>
        <w:t>元。2008年以来，按照自治州“人畜下山来，绿色留高原”工作方针，全乡牧民通过“集中安置”和“插花安置”方式搬迁居住到若羌县城周边乡镇（铁干里克镇、吾塔木乡和瓦石峡镇塔什萨依开发区）主要来源是畜牧业生产及外出务工劳务收入。</w:t>
      </w:r>
    </w:p>
    <w:p>
      <w:pPr>
        <w:spacing w:line="540" w:lineRule="exact"/>
        <w:ind w:firstLine="579" w:firstLineChars="181"/>
        <w:rPr>
          <w:rFonts w:hint="eastAsia" w:ascii="仿宋_GB2312" w:hAnsi="宋体" w:eastAsia="仿宋_GB2312"/>
          <w:sz w:val="32"/>
          <w:lang w:eastAsia="zh-CN"/>
        </w:rPr>
      </w:pPr>
      <w:r>
        <w:rPr>
          <w:rFonts w:hint="eastAsia" w:ascii="仿宋_GB2312" w:hAnsi="宋体" w:eastAsia="仿宋_GB2312"/>
          <w:sz w:val="32"/>
        </w:rPr>
        <w:t>2015年，由祁曼塔格村和铁木里克村17名贫困户联合注册成立祁曼畜牧养殖专业合作社，</w:t>
      </w:r>
      <w:r>
        <w:rPr>
          <w:rFonts w:hint="eastAsia" w:ascii="仿宋_GB2312" w:hAnsi="宋体" w:eastAsia="仿宋_GB2312"/>
          <w:sz w:val="32"/>
          <w:lang w:eastAsia="zh-CN"/>
        </w:rPr>
        <w:t>注册资金</w:t>
      </w:r>
      <w:r>
        <w:rPr>
          <w:rFonts w:hint="eastAsia" w:ascii="仿宋_GB2312" w:hAnsi="宋体" w:eastAsia="仿宋_GB2312"/>
          <w:sz w:val="32"/>
          <w:lang w:val="en-US" w:eastAsia="zh-CN"/>
        </w:rPr>
        <w:t>295.4万元。法人为艾热提·阿不都力</w:t>
      </w:r>
      <w:r>
        <w:rPr>
          <w:rFonts w:hint="eastAsia" w:ascii="仿宋_GB2312" w:hAnsi="宋体" w:eastAsia="仿宋_GB2312"/>
          <w:sz w:val="32"/>
          <w:lang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640"/>
        <w:rPr>
          <w:rFonts w:hint="eastAsia" w:ascii="仿宋_GB2312" w:hAnsi="宋体" w:eastAsia="仿宋_GB2312"/>
          <w:sz w:val="32"/>
          <w:szCs w:val="22"/>
        </w:rPr>
      </w:pPr>
      <w:r>
        <w:rPr>
          <w:rFonts w:hint="eastAsia" w:ascii="仿宋_GB2312" w:hAnsi="宋体" w:eastAsia="仿宋_GB2312"/>
          <w:sz w:val="32"/>
          <w:szCs w:val="22"/>
        </w:rPr>
        <w:t>该项目属于500亩饲草料种植基地收割牧草配套设备。购买饲草料收割打包粉碎一体机</w:t>
      </w:r>
      <w:r>
        <w:rPr>
          <w:rFonts w:hint="eastAsia" w:ascii="仿宋_GB2312" w:hAnsi="宋体" w:eastAsia="仿宋_GB2312"/>
          <w:sz w:val="32"/>
          <w:szCs w:val="22"/>
          <w:lang w:val="en-US" w:eastAsia="zh-CN"/>
        </w:rPr>
        <w:t>1</w:t>
      </w:r>
      <w:r>
        <w:rPr>
          <w:rFonts w:hint="eastAsia" w:ascii="仿宋_GB2312" w:hAnsi="宋体" w:eastAsia="仿宋_GB2312"/>
          <w:sz w:val="32"/>
          <w:szCs w:val="22"/>
        </w:rPr>
        <w:t>台（每台12万，型号2200型）、缠膜机</w:t>
      </w:r>
      <w:r>
        <w:rPr>
          <w:rFonts w:hint="eastAsia" w:ascii="仿宋_GB2312" w:hAnsi="宋体" w:eastAsia="仿宋_GB2312"/>
          <w:sz w:val="32"/>
          <w:szCs w:val="22"/>
          <w:lang w:val="en-US" w:eastAsia="zh-CN"/>
        </w:rPr>
        <w:t>1</w:t>
      </w:r>
      <w:r>
        <w:rPr>
          <w:rFonts w:hint="eastAsia" w:ascii="仿宋_GB2312" w:hAnsi="宋体" w:eastAsia="仿宋_GB2312"/>
          <w:sz w:val="32"/>
          <w:szCs w:val="22"/>
        </w:rPr>
        <w:t>台含包装袋（每台2万，型号2020型）、前置割草机</w:t>
      </w:r>
      <w:r>
        <w:rPr>
          <w:rFonts w:hint="eastAsia" w:ascii="仿宋_GB2312" w:hAnsi="宋体" w:eastAsia="仿宋_GB2312"/>
          <w:sz w:val="32"/>
          <w:szCs w:val="22"/>
          <w:lang w:val="en-US" w:eastAsia="zh-CN"/>
        </w:rPr>
        <w:t>1</w:t>
      </w:r>
      <w:r>
        <w:rPr>
          <w:rFonts w:hint="eastAsia" w:ascii="仿宋_GB2312" w:hAnsi="宋体" w:eastAsia="仿宋_GB2312"/>
          <w:sz w:val="32"/>
          <w:szCs w:val="22"/>
        </w:rPr>
        <w:t>台（2米的每台5000元，型号200型）、拢草机</w:t>
      </w:r>
      <w:r>
        <w:rPr>
          <w:rFonts w:hint="eastAsia" w:ascii="仿宋_GB2312" w:hAnsi="宋体" w:eastAsia="仿宋_GB2312"/>
          <w:sz w:val="32"/>
          <w:szCs w:val="22"/>
          <w:lang w:val="en-US" w:eastAsia="zh-CN"/>
        </w:rPr>
        <w:t>1</w:t>
      </w:r>
      <w:r>
        <w:rPr>
          <w:rFonts w:hint="eastAsia" w:ascii="仿宋_GB2312" w:hAnsi="宋体" w:eastAsia="仿宋_GB2312"/>
          <w:sz w:val="32"/>
          <w:szCs w:val="22"/>
        </w:rPr>
        <w:t>台（4行的每台1万，型号2200型）、东风牌1004拖拉机</w:t>
      </w:r>
      <w:r>
        <w:rPr>
          <w:rFonts w:hint="eastAsia" w:ascii="仿宋_GB2312" w:hAnsi="宋体" w:eastAsia="仿宋_GB2312"/>
          <w:sz w:val="32"/>
          <w:szCs w:val="22"/>
          <w:lang w:val="en-US" w:eastAsia="zh-CN"/>
        </w:rPr>
        <w:t>1</w:t>
      </w:r>
      <w:r>
        <w:rPr>
          <w:rFonts w:hint="eastAsia" w:ascii="仿宋_GB2312" w:hAnsi="宋体" w:eastAsia="仿宋_GB2312"/>
          <w:sz w:val="32"/>
          <w:szCs w:val="22"/>
        </w:rPr>
        <w:t>台（每台21万，型号东风1004）（配套设施：液压2轮平板拖车</w:t>
      </w:r>
      <w:r>
        <w:rPr>
          <w:rFonts w:hint="eastAsia" w:ascii="仿宋_GB2312" w:hAnsi="宋体" w:eastAsia="仿宋_GB2312"/>
          <w:sz w:val="32"/>
          <w:szCs w:val="22"/>
          <w:lang w:val="en-US" w:eastAsia="zh-CN"/>
        </w:rPr>
        <w:t>1</w:t>
      </w:r>
      <w:r>
        <w:rPr>
          <w:rFonts w:hint="eastAsia" w:ascii="仿宋_GB2312" w:hAnsi="宋体" w:eastAsia="仿宋_GB2312"/>
          <w:sz w:val="32"/>
          <w:szCs w:val="22"/>
        </w:rPr>
        <w:t>辆（每辆2万，4X6型号）、必备刀片、备品等配件（每套5000元）资产属于43户贫困户个人所有。</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79" w:firstLineChars="181"/>
        <w:rPr>
          <w:rFonts w:hint="default" w:ascii="仿宋_GB2312" w:hAnsi="宋体" w:eastAsia="仿宋_GB2312"/>
          <w:sz w:val="32"/>
          <w:lang w:val="en-US" w:eastAsia="zh-CN"/>
        </w:rPr>
      </w:pPr>
      <w:r>
        <w:rPr>
          <w:rFonts w:hint="eastAsia" w:ascii="仿宋_GB2312" w:hAnsi="宋体" w:eastAsia="仿宋_GB2312"/>
          <w:sz w:val="32"/>
          <w:lang w:val="en-US" w:eastAsia="zh-CN"/>
        </w:rPr>
        <w:t>中央提前告知</w:t>
      </w:r>
      <w:r>
        <w:rPr>
          <w:rFonts w:hint="eastAsia" w:ascii="仿宋_GB2312" w:hAnsi="宋体" w:eastAsia="仿宋_GB2312"/>
          <w:sz w:val="32"/>
          <w:lang w:eastAsia="zh-CN"/>
        </w:rPr>
        <w:t>财政</w:t>
      </w:r>
      <w:r>
        <w:rPr>
          <w:rFonts w:hint="eastAsia" w:ascii="仿宋_GB2312" w:hAnsi="宋体" w:eastAsia="仿宋_GB2312"/>
          <w:sz w:val="32"/>
        </w:rPr>
        <w:t>专项扶贫发展资金</w:t>
      </w:r>
      <w:r>
        <w:rPr>
          <w:rFonts w:hint="eastAsia" w:ascii="仿宋_GB2312" w:hAnsi="宋体" w:eastAsia="仿宋_GB2312"/>
          <w:sz w:val="32"/>
          <w:lang w:val="en-US" w:eastAsia="zh-CN"/>
        </w:rPr>
        <w:t>40万元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40"/>
        <w:rPr>
          <w:rFonts w:hint="eastAsia" w:ascii="仿宋_GB2312" w:hAnsi="宋体" w:eastAsia="仿宋_GB2312"/>
          <w:sz w:val="32"/>
          <w:szCs w:val="22"/>
        </w:rPr>
      </w:pPr>
      <w:r>
        <w:rPr>
          <w:rFonts w:hint="eastAsia" w:ascii="仿宋_GB2312" w:hAnsi="宋体" w:eastAsia="仿宋_GB2312"/>
          <w:sz w:val="32"/>
          <w:szCs w:val="22"/>
        </w:rPr>
        <w:t>该项目属于500亩饲草料种植基地收割牧草配套设备。购买饲草料收割打包粉碎一体机</w:t>
      </w:r>
      <w:r>
        <w:rPr>
          <w:rFonts w:hint="eastAsia" w:ascii="仿宋_GB2312" w:hAnsi="宋体" w:eastAsia="仿宋_GB2312"/>
          <w:sz w:val="32"/>
          <w:szCs w:val="22"/>
          <w:lang w:val="en-US" w:eastAsia="zh-CN"/>
        </w:rPr>
        <w:t>1</w:t>
      </w:r>
      <w:r>
        <w:rPr>
          <w:rFonts w:hint="eastAsia" w:ascii="仿宋_GB2312" w:hAnsi="宋体" w:eastAsia="仿宋_GB2312"/>
          <w:sz w:val="32"/>
          <w:szCs w:val="22"/>
        </w:rPr>
        <w:t>台（每台12万，型号2200型）、缠膜机</w:t>
      </w:r>
      <w:r>
        <w:rPr>
          <w:rFonts w:hint="eastAsia" w:ascii="仿宋_GB2312" w:hAnsi="宋体" w:eastAsia="仿宋_GB2312"/>
          <w:sz w:val="32"/>
          <w:szCs w:val="22"/>
          <w:lang w:val="en-US" w:eastAsia="zh-CN"/>
        </w:rPr>
        <w:t>1</w:t>
      </w:r>
      <w:r>
        <w:rPr>
          <w:rFonts w:hint="eastAsia" w:ascii="仿宋_GB2312" w:hAnsi="宋体" w:eastAsia="仿宋_GB2312"/>
          <w:sz w:val="32"/>
          <w:szCs w:val="22"/>
        </w:rPr>
        <w:t>台含包装袋（每台2万，型号2020型）、前置割草机</w:t>
      </w:r>
      <w:r>
        <w:rPr>
          <w:rFonts w:hint="eastAsia" w:ascii="仿宋_GB2312" w:hAnsi="宋体" w:eastAsia="仿宋_GB2312"/>
          <w:sz w:val="32"/>
          <w:szCs w:val="22"/>
          <w:lang w:val="en-US" w:eastAsia="zh-CN"/>
        </w:rPr>
        <w:t>1</w:t>
      </w:r>
      <w:r>
        <w:rPr>
          <w:rFonts w:hint="eastAsia" w:ascii="仿宋_GB2312" w:hAnsi="宋体" w:eastAsia="仿宋_GB2312"/>
          <w:sz w:val="32"/>
          <w:szCs w:val="22"/>
        </w:rPr>
        <w:t>台（2米的每台5000元，型号200型）、拢草机</w:t>
      </w:r>
      <w:r>
        <w:rPr>
          <w:rFonts w:hint="eastAsia" w:ascii="仿宋_GB2312" w:hAnsi="宋体" w:eastAsia="仿宋_GB2312"/>
          <w:sz w:val="32"/>
          <w:szCs w:val="22"/>
          <w:lang w:val="en-US" w:eastAsia="zh-CN"/>
        </w:rPr>
        <w:t>1</w:t>
      </w:r>
      <w:r>
        <w:rPr>
          <w:rFonts w:hint="eastAsia" w:ascii="仿宋_GB2312" w:hAnsi="宋体" w:eastAsia="仿宋_GB2312"/>
          <w:sz w:val="32"/>
          <w:szCs w:val="22"/>
        </w:rPr>
        <w:t>台（4行的每台1万，型号2200型）、东风牌1004拖拉机</w:t>
      </w:r>
      <w:r>
        <w:rPr>
          <w:rFonts w:hint="eastAsia" w:ascii="仿宋_GB2312" w:hAnsi="宋体" w:eastAsia="仿宋_GB2312"/>
          <w:sz w:val="32"/>
          <w:szCs w:val="22"/>
          <w:lang w:val="en-US" w:eastAsia="zh-CN"/>
        </w:rPr>
        <w:t>1</w:t>
      </w:r>
      <w:r>
        <w:rPr>
          <w:rFonts w:hint="eastAsia" w:ascii="仿宋_GB2312" w:hAnsi="宋体" w:eastAsia="仿宋_GB2312"/>
          <w:sz w:val="32"/>
          <w:szCs w:val="22"/>
        </w:rPr>
        <w:t>台（每台21万，型号东风1004）（配套设施：液压2轮平板拖车</w:t>
      </w:r>
      <w:r>
        <w:rPr>
          <w:rFonts w:hint="eastAsia" w:ascii="仿宋_GB2312" w:hAnsi="宋体" w:eastAsia="仿宋_GB2312"/>
          <w:sz w:val="32"/>
          <w:szCs w:val="22"/>
          <w:lang w:val="en-US" w:eastAsia="zh-CN"/>
        </w:rPr>
        <w:t>1</w:t>
      </w:r>
      <w:r>
        <w:rPr>
          <w:rFonts w:hint="eastAsia" w:ascii="仿宋_GB2312" w:hAnsi="宋体" w:eastAsia="仿宋_GB2312"/>
          <w:sz w:val="32"/>
          <w:szCs w:val="22"/>
        </w:rPr>
        <w:t>辆（每辆2万，4X6型号）、必备刀片、备品等配件（每套5000元）资产属于43户贫困户个人所有。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rPr>
      </w:pPr>
      <w:r>
        <w:rPr>
          <w:rFonts w:hint="eastAsia" w:ascii="仿宋_GB2312" w:hAnsi="宋体" w:eastAsia="仿宋_GB2312"/>
          <w:sz w:val="32"/>
        </w:rPr>
        <w:t>项目严格按照扶贫开发项目管理有关制度的管理规定实施，高标准规划设计和实施。成立由祁曼塔格乡党委书记任组长，党委副书记、乡长任副组长，乡纪委书记、村委会书记、主任，驻村工作队队长、乡财政负责人为成员的项目建设实施领导小组。领导小组与项目村签订目标责任书，明确责任，责任到人。对于职责不清、措施不到位的，落实不及时的，要追究责任，严肃处理。对于弄虚作假的，坚决</w:t>
      </w:r>
      <w:r>
        <w:rPr>
          <w:rFonts w:hint="eastAsia" w:ascii="仿宋_GB2312" w:hAnsi="宋体" w:eastAsia="仿宋_GB2312"/>
          <w:sz w:val="32"/>
          <w:lang w:val="en-US" w:eastAsia="zh-CN"/>
        </w:rPr>
        <w:t>予</w:t>
      </w:r>
      <w:r>
        <w:rPr>
          <w:rFonts w:hint="eastAsia" w:ascii="仿宋_GB2312" w:hAnsi="宋体" w:eastAsia="仿宋_GB2312"/>
          <w:sz w:val="32"/>
        </w:rPr>
        <w:t>以制止。</w:t>
      </w:r>
    </w:p>
    <w:p>
      <w:pPr>
        <w:keepNext w:val="0"/>
        <w:keepLines w:val="0"/>
        <w:pageBreakBefore w:val="0"/>
        <w:kinsoku/>
        <w:wordWrap/>
        <w:overflowPunct/>
        <w:topLinePunct w:val="0"/>
        <w:autoSpaceDE/>
        <w:autoSpaceDN/>
        <w:bidi w:val="0"/>
        <w:adjustRightInd/>
        <w:snapToGrid/>
        <w:spacing w:line="54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baseline"/>
        <w:outlineLvl w:val="9"/>
        <w:rPr>
          <w:rFonts w:hint="eastAsia" w:ascii="仿宋" w:hAnsi="仿宋" w:eastAsia="仿宋" w:cs="仿宋"/>
          <w:color w:val="000000"/>
          <w:sz w:val="32"/>
          <w:szCs w:val="32"/>
          <w:lang w:val="en-US" w:eastAsia="zh-CN"/>
        </w:rPr>
      </w:pPr>
      <w:r>
        <w:rPr>
          <w:rFonts w:hint="eastAsia" w:ascii="仿宋_GB2312" w:hAnsi="仿宋_GB2312" w:eastAsia="仿宋_GB2312" w:cs="仿宋_GB2312"/>
          <w:sz w:val="32"/>
          <w:szCs w:val="32"/>
          <w:lang w:val="en-US" w:eastAsia="zh-CN"/>
        </w:rPr>
        <w:t>该项目于2019年3月6日、3月26日两次委托第三方招标代理公司新疆建宇工程项目管理咨询有限公司在新疆政府采购网上发布招标公告。4月3日进行公开招标。</w:t>
      </w:r>
      <w:r>
        <w:rPr>
          <w:rFonts w:hint="eastAsia" w:ascii="仿宋" w:hAnsi="仿宋" w:eastAsia="仿宋" w:cs="仿宋"/>
          <w:color w:val="000000"/>
          <w:sz w:val="32"/>
          <w:szCs w:val="32"/>
          <w:lang w:val="en-US" w:eastAsia="zh-CN"/>
        </w:rPr>
        <w:t>中标单位：新疆富亨农业开发有限公司中标价：370000元。</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40" w:lineRule="exact"/>
        <w:ind w:firstLine="624" w:firstLineChars="200"/>
        <w:textAlignment w:val="auto"/>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成立了祁曼塔格村村级扶贫项目实施领导小组，并下设办公室，安排专人负责项目申报、落实及实施等日常监督管理工作。</w:t>
      </w:r>
    </w:p>
    <w:p>
      <w:pPr>
        <w:keepNext w:val="0"/>
        <w:keepLines w:val="0"/>
        <w:pageBreakBefore w:val="0"/>
        <w:kinsoku/>
        <w:wordWrap/>
        <w:overflowPunct/>
        <w:topLinePunct w:val="0"/>
        <w:autoSpaceDE/>
        <w:autoSpaceDN/>
        <w:bidi w:val="0"/>
        <w:adjustRightInd/>
        <w:snapToGrid/>
        <w:spacing w:line="540" w:lineRule="exact"/>
        <w:ind w:firstLine="640"/>
        <w:textAlignment w:val="auto"/>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40" w:lineRule="exact"/>
        <w:ind w:firstLine="564" w:firstLineChars="181"/>
        <w:textAlignment w:val="auto"/>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该项目带动建档立卡贫困户增收（户均）≥300元；扶持建档立卡贫困户数43户；以上指标均符合申报的绩效目标内容。</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40" w:lineRule="exact"/>
        <w:ind w:firstLine="564" w:firstLineChars="181"/>
        <w:textAlignment w:val="auto"/>
        <w:rPr>
          <w:rFonts w:ascii="仿宋" w:hAnsi="仿宋" w:eastAsia="仿宋"/>
          <w:spacing w:val="-4"/>
          <w:sz w:val="32"/>
          <w:szCs w:val="32"/>
        </w:rPr>
      </w:pPr>
      <w:r>
        <w:rPr>
          <w:rFonts w:hint="eastAsia" w:ascii="仿宋" w:hAnsi="仿宋" w:eastAsia="仿宋"/>
          <w:spacing w:val="-4"/>
          <w:sz w:val="32"/>
          <w:szCs w:val="32"/>
        </w:rPr>
        <w:t>（如项目绩效目标已完成，可不用填写该部分。）</w:t>
      </w:r>
    </w:p>
    <w:p>
      <w:pPr>
        <w:keepNext w:val="0"/>
        <w:keepLines w:val="0"/>
        <w:pageBreakBefore w:val="0"/>
        <w:kinsoku/>
        <w:wordWrap/>
        <w:overflowPunct/>
        <w:topLinePunct w:val="0"/>
        <w:autoSpaceDE/>
        <w:autoSpaceDN/>
        <w:bidi w:val="0"/>
        <w:adjustRightInd/>
        <w:snapToGrid/>
        <w:spacing w:line="54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（一）后续工作计划</w:t>
      </w:r>
    </w:p>
    <w:p>
      <w:pPr>
        <w:widowControl/>
        <w:ind w:firstLine="640" w:firstLineChars="200"/>
        <w:rPr>
          <w:rFonts w:hint="eastAsia" w:ascii="仿宋_GB2312" w:hAnsi="宋体" w:eastAsia="仿宋_GB2312"/>
          <w:sz w:val="32"/>
        </w:rPr>
      </w:pPr>
      <w:r>
        <w:rPr>
          <w:rFonts w:hint="eastAsia" w:ascii="仿宋_GB2312" w:hAnsi="宋体" w:eastAsia="仿宋_GB2312"/>
          <w:sz w:val="32"/>
        </w:rPr>
        <w:t>每年将收割的牧草按照一定的比例上缴村委会，村委会将这部分牧草出售给养殖合作社或养殖大户，养殖合作社或养殖大户购买的饲草料用于喂养贫困户托管的扶贫牲畜，一方面可降低饲草购买成本，另一方面，有效解决冬季和春季市场上饲草料供应不足问题，确保扶贫牲畜健康成长。60%利润以现金方式用于给43户贫困户分红，剩余40%的利润用于所有设备的日常维修、保养、</w:t>
      </w:r>
      <w:r>
        <w:rPr>
          <w:rFonts w:hint="eastAsia" w:ascii="仿宋_GB2312" w:hAnsi="宋体" w:eastAsia="仿宋_GB2312"/>
          <w:sz w:val="32"/>
          <w:lang w:eastAsia="zh-CN"/>
        </w:rPr>
        <w:t>加油、</w:t>
      </w:r>
      <w:r>
        <w:rPr>
          <w:rFonts w:hint="eastAsia" w:ascii="仿宋_GB2312" w:hAnsi="宋体" w:eastAsia="仿宋_GB2312"/>
          <w:sz w:val="32"/>
        </w:rPr>
        <w:t>人工等各项费用的支出。</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40" w:firstLineChars="200"/>
        <w:rPr>
          <w:rFonts w:hint="eastAsia" w:ascii="仿宋_GB2312" w:hAnsi="宋体" w:eastAsia="仿宋_GB2312"/>
          <w:sz w:val="32"/>
          <w:szCs w:val="22"/>
        </w:rPr>
      </w:pPr>
      <w:r>
        <w:rPr>
          <w:rFonts w:hint="eastAsia" w:ascii="仿宋_GB2312" w:hAnsi="宋体" w:eastAsia="仿宋_GB2312"/>
          <w:sz w:val="32"/>
          <w:szCs w:val="22"/>
        </w:rPr>
        <w:t>500亩饲草料种植基地收割牧草配套设备。购买饲草料收割打包粉碎一体机</w:t>
      </w:r>
      <w:r>
        <w:rPr>
          <w:rFonts w:hint="eastAsia" w:ascii="仿宋_GB2312" w:hAnsi="宋体" w:eastAsia="仿宋_GB2312"/>
          <w:sz w:val="32"/>
          <w:szCs w:val="22"/>
          <w:lang w:val="en-US" w:eastAsia="zh-CN"/>
        </w:rPr>
        <w:t>1</w:t>
      </w:r>
      <w:r>
        <w:rPr>
          <w:rFonts w:hint="eastAsia" w:ascii="仿宋_GB2312" w:hAnsi="宋体" w:eastAsia="仿宋_GB2312"/>
          <w:sz w:val="32"/>
          <w:szCs w:val="22"/>
        </w:rPr>
        <w:t>台（每台12万，型号2200型）、缠膜机</w:t>
      </w:r>
      <w:r>
        <w:rPr>
          <w:rFonts w:hint="eastAsia" w:ascii="仿宋_GB2312" w:hAnsi="宋体" w:eastAsia="仿宋_GB2312"/>
          <w:sz w:val="32"/>
          <w:szCs w:val="22"/>
          <w:lang w:val="en-US" w:eastAsia="zh-CN"/>
        </w:rPr>
        <w:t>1</w:t>
      </w:r>
      <w:r>
        <w:rPr>
          <w:rFonts w:hint="eastAsia" w:ascii="仿宋_GB2312" w:hAnsi="宋体" w:eastAsia="仿宋_GB2312"/>
          <w:sz w:val="32"/>
          <w:szCs w:val="22"/>
        </w:rPr>
        <w:t>台含包装袋（每台2万，型号2020型）、前置割草机</w:t>
      </w:r>
      <w:r>
        <w:rPr>
          <w:rFonts w:hint="eastAsia" w:ascii="仿宋_GB2312" w:hAnsi="宋体" w:eastAsia="仿宋_GB2312"/>
          <w:sz w:val="32"/>
          <w:szCs w:val="22"/>
          <w:lang w:val="en-US" w:eastAsia="zh-CN"/>
        </w:rPr>
        <w:t>1</w:t>
      </w:r>
      <w:r>
        <w:rPr>
          <w:rFonts w:hint="eastAsia" w:ascii="仿宋_GB2312" w:hAnsi="宋体" w:eastAsia="仿宋_GB2312"/>
          <w:sz w:val="32"/>
          <w:szCs w:val="22"/>
        </w:rPr>
        <w:t>台（2米的每台5000元，型号200型）、拢草机</w:t>
      </w:r>
      <w:r>
        <w:rPr>
          <w:rFonts w:hint="eastAsia" w:ascii="仿宋_GB2312" w:hAnsi="宋体" w:eastAsia="仿宋_GB2312"/>
          <w:sz w:val="32"/>
          <w:szCs w:val="22"/>
          <w:lang w:val="en-US" w:eastAsia="zh-CN"/>
        </w:rPr>
        <w:t>1</w:t>
      </w:r>
      <w:r>
        <w:rPr>
          <w:rFonts w:hint="eastAsia" w:ascii="仿宋_GB2312" w:hAnsi="宋体" w:eastAsia="仿宋_GB2312"/>
          <w:sz w:val="32"/>
          <w:szCs w:val="22"/>
        </w:rPr>
        <w:t>台（4行的每台1万，型号2200型）、东风牌1004拖拉机</w:t>
      </w:r>
      <w:r>
        <w:rPr>
          <w:rFonts w:hint="eastAsia" w:ascii="仿宋_GB2312" w:hAnsi="宋体" w:eastAsia="仿宋_GB2312"/>
          <w:sz w:val="32"/>
          <w:szCs w:val="22"/>
          <w:lang w:val="en-US" w:eastAsia="zh-CN"/>
        </w:rPr>
        <w:t>1</w:t>
      </w:r>
      <w:r>
        <w:rPr>
          <w:rFonts w:hint="eastAsia" w:ascii="仿宋_GB2312" w:hAnsi="宋体" w:eastAsia="仿宋_GB2312"/>
          <w:sz w:val="32"/>
          <w:szCs w:val="22"/>
        </w:rPr>
        <w:t>台（每台21万，型号东风1004）（配套设施：液压2轮平板拖车</w:t>
      </w:r>
      <w:r>
        <w:rPr>
          <w:rFonts w:hint="eastAsia" w:ascii="仿宋_GB2312" w:hAnsi="宋体" w:eastAsia="仿宋_GB2312"/>
          <w:sz w:val="32"/>
          <w:szCs w:val="22"/>
          <w:lang w:val="en-US" w:eastAsia="zh-CN"/>
        </w:rPr>
        <w:t>1</w:t>
      </w:r>
      <w:r>
        <w:rPr>
          <w:rFonts w:hint="eastAsia" w:ascii="仿宋_GB2312" w:hAnsi="宋体" w:eastAsia="仿宋_GB2312"/>
          <w:sz w:val="32"/>
          <w:szCs w:val="22"/>
        </w:rPr>
        <w:t>辆（每辆2万，4X6型号）、必备刀片、备品等配件（每套5000元）资产属于43户贫困户个人所有。</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both"/>
        <w:textAlignment w:val="baseline"/>
        <w:outlineLvl w:val="9"/>
        <w:rPr>
          <w:rFonts w:hint="eastAsia" w:ascii="仿宋" w:hAnsi="仿宋" w:eastAsia="仿宋" w:cs="仿宋"/>
          <w:color w:val="000000"/>
          <w:sz w:val="32"/>
          <w:szCs w:val="32"/>
          <w:lang w:val="en-US" w:eastAsia="zh-CN"/>
        </w:rPr>
      </w:pPr>
      <w:r>
        <w:rPr>
          <w:rFonts w:hint="eastAsia" w:ascii="仿宋_GB2312" w:hAnsi="仿宋_GB2312" w:eastAsia="仿宋_GB2312" w:cs="仿宋_GB2312"/>
          <w:sz w:val="32"/>
          <w:szCs w:val="32"/>
          <w:lang w:val="en-US" w:eastAsia="zh-CN"/>
        </w:rPr>
        <w:t>该项目于2019年3月6日、3月26日两次委托第三方招标代理公司新疆建宇工程项目管理咨询有限公司在新疆政府采购网上发布招标公告。4月3日进行公开招标。</w:t>
      </w:r>
      <w:r>
        <w:rPr>
          <w:rFonts w:hint="eastAsia" w:ascii="仿宋" w:hAnsi="仿宋" w:eastAsia="仿宋" w:cs="仿宋"/>
          <w:color w:val="000000"/>
          <w:sz w:val="32"/>
          <w:szCs w:val="32"/>
          <w:lang w:val="en-US" w:eastAsia="zh-CN"/>
        </w:rPr>
        <w:t>中标单位：新疆富亨农业开发有限公司中标价：370000元。</w:t>
      </w:r>
    </w:p>
    <w:p>
      <w:pPr>
        <w:keepNext w:val="0"/>
        <w:keepLines w:val="0"/>
        <w:pageBreakBefore w:val="0"/>
        <w:kinsoku/>
        <w:wordWrap/>
        <w:overflowPunct/>
        <w:topLinePunct w:val="0"/>
        <w:autoSpaceDE/>
        <w:autoSpaceDN/>
        <w:bidi w:val="0"/>
        <w:adjustRightInd/>
        <w:snapToGrid/>
        <w:spacing w:line="54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（三）其他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Arial"/>
          <w:kern w:val="0"/>
          <w:sz w:val="32"/>
          <w:szCs w:val="32"/>
        </w:rPr>
      </w:pPr>
      <w:r>
        <w:rPr>
          <w:rFonts w:ascii="仿宋" w:hAnsi="仿宋" w:eastAsia="仿宋" w:cs="Arial"/>
          <w:kern w:val="0"/>
          <w:sz w:val="32"/>
          <w:szCs w:val="32"/>
        </w:rPr>
        <w:t>“三分建，七分管”，购建是基础，</w:t>
      </w:r>
      <w:r>
        <w:rPr>
          <w:rFonts w:hint="eastAsia" w:ascii="仿宋" w:hAnsi="仿宋" w:eastAsia="仿宋" w:cs="Arial"/>
          <w:kern w:val="0"/>
          <w:sz w:val="32"/>
          <w:szCs w:val="32"/>
        </w:rPr>
        <w:t>管理</w:t>
      </w:r>
      <w:r>
        <w:rPr>
          <w:rFonts w:ascii="仿宋" w:hAnsi="仿宋" w:eastAsia="仿宋" w:cs="Arial"/>
          <w:kern w:val="0"/>
          <w:sz w:val="32"/>
          <w:szCs w:val="32"/>
        </w:rPr>
        <w:t>是关键。我们始终把</w:t>
      </w:r>
      <w:r>
        <w:rPr>
          <w:rFonts w:hint="eastAsia" w:ascii="仿宋" w:hAnsi="仿宋" w:eastAsia="仿宋" w:cs="Arial"/>
          <w:kern w:val="0"/>
          <w:sz w:val="32"/>
          <w:szCs w:val="32"/>
        </w:rPr>
        <w:t>后期管理</w:t>
      </w:r>
      <w:r>
        <w:rPr>
          <w:rFonts w:ascii="仿宋" w:hAnsi="仿宋" w:eastAsia="仿宋" w:cs="Arial"/>
          <w:kern w:val="0"/>
          <w:sz w:val="32"/>
          <w:szCs w:val="32"/>
        </w:rPr>
        <w:t>工作作为扶贫项目建设的长远大事来抓，把</w:t>
      </w:r>
      <w:r>
        <w:rPr>
          <w:rFonts w:hint="eastAsia" w:ascii="仿宋" w:hAnsi="仿宋" w:eastAsia="仿宋" w:cs="Arial"/>
          <w:kern w:val="0"/>
          <w:sz w:val="32"/>
          <w:szCs w:val="32"/>
        </w:rPr>
        <w:t>实施</w:t>
      </w:r>
      <w:r>
        <w:rPr>
          <w:rFonts w:ascii="仿宋" w:hAnsi="仿宋" w:eastAsia="仿宋" w:cs="Arial"/>
          <w:kern w:val="0"/>
          <w:sz w:val="32"/>
          <w:szCs w:val="32"/>
        </w:rPr>
        <w:t>和</w:t>
      </w:r>
      <w:r>
        <w:rPr>
          <w:rFonts w:hint="eastAsia" w:ascii="仿宋" w:hAnsi="仿宋" w:eastAsia="仿宋" w:cs="Arial"/>
          <w:kern w:val="0"/>
          <w:sz w:val="32"/>
          <w:szCs w:val="32"/>
        </w:rPr>
        <w:t>管理</w:t>
      </w:r>
      <w:r>
        <w:rPr>
          <w:rFonts w:ascii="仿宋" w:hAnsi="仿宋" w:eastAsia="仿宋" w:cs="Arial"/>
          <w:kern w:val="0"/>
          <w:sz w:val="32"/>
          <w:szCs w:val="32"/>
        </w:rPr>
        <w:t>有机地结合起来，使扶贫项目发挥长远效益</w:t>
      </w:r>
      <w:r>
        <w:rPr>
          <w:rFonts w:hint="eastAsia" w:ascii="仿宋" w:hAnsi="仿宋" w:eastAsia="仿宋" w:cs="Arial"/>
          <w:kern w:val="0"/>
          <w:sz w:val="32"/>
          <w:szCs w:val="32"/>
        </w:rPr>
        <w:t>，</w:t>
      </w:r>
      <w:r>
        <w:rPr>
          <w:rFonts w:ascii="仿宋" w:hAnsi="仿宋" w:eastAsia="仿宋" w:cs="Arial"/>
          <w:kern w:val="0"/>
          <w:sz w:val="32"/>
          <w:szCs w:val="32"/>
        </w:rPr>
        <w:t>确保</w:t>
      </w:r>
      <w:r>
        <w:rPr>
          <w:rFonts w:hint="eastAsia" w:ascii="仿宋" w:hAnsi="仿宋" w:eastAsia="仿宋" w:cs="Arial"/>
          <w:kern w:val="0"/>
          <w:sz w:val="32"/>
          <w:szCs w:val="32"/>
          <w:lang w:eastAsia="zh-CN"/>
        </w:rPr>
        <w:t>所有</w:t>
      </w:r>
      <w:r>
        <w:rPr>
          <w:rFonts w:hint="eastAsia" w:ascii="仿宋" w:hAnsi="仿宋" w:eastAsia="仿宋" w:cs="Arial"/>
          <w:kern w:val="0"/>
          <w:sz w:val="32"/>
          <w:szCs w:val="32"/>
        </w:rPr>
        <w:t>扶贫项目得以有效有利的高效运转</w:t>
      </w:r>
      <w:r>
        <w:rPr>
          <w:rFonts w:ascii="仿宋" w:hAnsi="仿宋" w:eastAsia="仿宋" w:cs="Arial"/>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Arial"/>
          <w:kern w:val="0"/>
          <w:sz w:val="32"/>
          <w:szCs w:val="32"/>
        </w:rPr>
      </w:pPr>
      <w:r>
        <w:rPr>
          <w:rFonts w:ascii="仿宋" w:hAnsi="仿宋" w:eastAsia="仿宋" w:cs="Arial"/>
          <w:kern w:val="0"/>
          <w:sz w:val="32"/>
          <w:szCs w:val="32"/>
        </w:rPr>
        <w:t>具体做到：一是抓好扶贫项目竣工移交工作。项目建成</w:t>
      </w:r>
      <w:r>
        <w:rPr>
          <w:rFonts w:hint="eastAsia" w:ascii="仿宋" w:hAnsi="仿宋" w:eastAsia="仿宋" w:cs="Arial"/>
          <w:kern w:val="0"/>
          <w:sz w:val="32"/>
          <w:szCs w:val="32"/>
        </w:rPr>
        <w:t>通</w:t>
      </w:r>
      <w:r>
        <w:rPr>
          <w:rFonts w:ascii="仿宋" w:hAnsi="仿宋" w:eastAsia="仿宋" w:cs="Arial"/>
          <w:kern w:val="0"/>
          <w:sz w:val="32"/>
          <w:szCs w:val="32"/>
        </w:rPr>
        <w:t>过验收后，将搞好</w:t>
      </w:r>
      <w:r>
        <w:rPr>
          <w:rFonts w:hint="eastAsia" w:ascii="仿宋" w:hAnsi="仿宋" w:eastAsia="仿宋" w:cs="Arial"/>
          <w:kern w:val="0"/>
          <w:sz w:val="32"/>
          <w:szCs w:val="32"/>
          <w:lang w:eastAsia="zh-CN"/>
        </w:rPr>
        <w:t>移交</w:t>
      </w:r>
      <w:r>
        <w:rPr>
          <w:rFonts w:ascii="仿宋" w:hAnsi="仿宋" w:eastAsia="仿宋" w:cs="Arial"/>
          <w:kern w:val="0"/>
          <w:sz w:val="32"/>
          <w:szCs w:val="32"/>
        </w:rPr>
        <w:t>手续，落实项目管理；二是制定</w:t>
      </w:r>
      <w:r>
        <w:rPr>
          <w:rFonts w:hint="eastAsia" w:ascii="仿宋" w:hAnsi="仿宋" w:eastAsia="仿宋" w:cs="Arial"/>
          <w:kern w:val="0"/>
          <w:sz w:val="32"/>
          <w:szCs w:val="32"/>
        </w:rPr>
        <w:t>扶贫</w:t>
      </w:r>
      <w:r>
        <w:rPr>
          <w:rFonts w:ascii="仿宋" w:hAnsi="仿宋" w:eastAsia="仿宋" w:cs="Arial"/>
          <w:kern w:val="0"/>
          <w:sz w:val="32"/>
          <w:szCs w:val="32"/>
        </w:rPr>
        <w:t>项目日常管理制度。根据扶贫项目不同特</w:t>
      </w:r>
      <w:r>
        <w:rPr>
          <w:rFonts w:hint="eastAsia" w:ascii="仿宋" w:hAnsi="仿宋" w:eastAsia="仿宋" w:cs="Arial"/>
          <w:kern w:val="0"/>
          <w:sz w:val="32"/>
          <w:szCs w:val="32"/>
        </w:rPr>
        <w:t>点</w:t>
      </w:r>
      <w:r>
        <w:rPr>
          <w:rFonts w:ascii="仿宋" w:hAnsi="仿宋" w:eastAsia="仿宋" w:cs="Arial"/>
          <w:kern w:val="0"/>
          <w:sz w:val="32"/>
          <w:szCs w:val="32"/>
        </w:rPr>
        <w:t>、详细制定单项工程管理制度</w:t>
      </w:r>
      <w:r>
        <w:rPr>
          <w:rFonts w:hint="eastAsia" w:ascii="仿宋" w:hAnsi="仿宋" w:eastAsia="仿宋" w:cs="Arial"/>
          <w:kern w:val="0"/>
          <w:sz w:val="32"/>
          <w:szCs w:val="32"/>
          <w:lang w:eastAsia="zh-CN"/>
        </w:rPr>
        <w:t>、</w:t>
      </w:r>
      <w:r>
        <w:rPr>
          <w:rFonts w:ascii="仿宋" w:hAnsi="仿宋" w:eastAsia="仿宋" w:cs="Arial"/>
          <w:kern w:val="0"/>
          <w:sz w:val="32"/>
          <w:szCs w:val="32"/>
        </w:rPr>
        <w:t>公约和规程</w:t>
      </w:r>
      <w:r>
        <w:rPr>
          <w:rFonts w:hint="eastAsia" w:ascii="仿宋" w:hAnsi="仿宋" w:eastAsia="仿宋" w:cs="Arial"/>
          <w:kern w:val="0"/>
          <w:sz w:val="32"/>
          <w:szCs w:val="32"/>
          <w:lang w:eastAsia="zh-CN"/>
        </w:rPr>
        <w:t>，</w:t>
      </w:r>
      <w:r>
        <w:rPr>
          <w:rFonts w:ascii="仿宋" w:hAnsi="仿宋" w:eastAsia="仿宋" w:cs="Arial"/>
          <w:kern w:val="0"/>
          <w:sz w:val="32"/>
          <w:szCs w:val="32"/>
        </w:rPr>
        <w:t>使</w:t>
      </w:r>
      <w:r>
        <w:rPr>
          <w:rFonts w:hint="eastAsia" w:ascii="仿宋" w:hAnsi="仿宋" w:eastAsia="仿宋" w:cs="Arial"/>
          <w:kern w:val="0"/>
          <w:sz w:val="32"/>
          <w:szCs w:val="32"/>
        </w:rPr>
        <w:t>该</w:t>
      </w:r>
      <w:r>
        <w:rPr>
          <w:rFonts w:ascii="仿宋" w:hAnsi="仿宋" w:eastAsia="仿宋" w:cs="Arial"/>
          <w:kern w:val="0"/>
          <w:sz w:val="32"/>
          <w:szCs w:val="32"/>
        </w:rPr>
        <w:t>项目工作有章可循；三是落实管护责任。</w:t>
      </w:r>
      <w:r>
        <w:rPr>
          <w:rFonts w:hint="eastAsia" w:ascii="仿宋" w:hAnsi="仿宋" w:eastAsia="仿宋" w:cs="Arial"/>
          <w:kern w:val="0"/>
          <w:sz w:val="32"/>
          <w:szCs w:val="32"/>
        </w:rPr>
        <w:t>扶贫</w:t>
      </w:r>
      <w:r>
        <w:rPr>
          <w:rFonts w:ascii="仿宋" w:hAnsi="仿宋" w:eastAsia="仿宋" w:cs="Arial"/>
          <w:kern w:val="0"/>
          <w:sz w:val="32"/>
          <w:szCs w:val="32"/>
        </w:rPr>
        <w:t>项目日常管理责任落实到人，使项目</w:t>
      </w:r>
      <w:r>
        <w:rPr>
          <w:rFonts w:hint="eastAsia" w:ascii="仿宋" w:hAnsi="仿宋" w:eastAsia="仿宋" w:cs="Arial"/>
          <w:kern w:val="0"/>
          <w:sz w:val="32"/>
          <w:szCs w:val="32"/>
        </w:rPr>
        <w:t>实施</w:t>
      </w:r>
      <w:r>
        <w:rPr>
          <w:rFonts w:ascii="仿宋" w:hAnsi="仿宋" w:eastAsia="仿宋" w:cs="Arial"/>
          <w:kern w:val="0"/>
          <w:sz w:val="32"/>
          <w:szCs w:val="32"/>
        </w:rPr>
        <w:t>过程中最大限度地不受损坏和损失；四是落实</w:t>
      </w:r>
      <w:r>
        <w:rPr>
          <w:rFonts w:hint="eastAsia" w:ascii="仿宋" w:hAnsi="仿宋" w:eastAsia="仿宋" w:cs="Arial"/>
          <w:kern w:val="0"/>
          <w:sz w:val="32"/>
          <w:szCs w:val="32"/>
        </w:rPr>
        <w:t>监管</w:t>
      </w:r>
      <w:r>
        <w:rPr>
          <w:rFonts w:ascii="仿宋" w:hAnsi="仿宋" w:eastAsia="仿宋" w:cs="Arial"/>
          <w:kern w:val="0"/>
          <w:sz w:val="32"/>
          <w:szCs w:val="32"/>
        </w:rPr>
        <w:t>制度。为长期保持可持续产生生产效益</w:t>
      </w:r>
      <w:r>
        <w:rPr>
          <w:rFonts w:hint="eastAsia" w:ascii="仿宋" w:hAnsi="仿宋" w:eastAsia="仿宋" w:cs="Arial"/>
          <w:kern w:val="0"/>
          <w:sz w:val="32"/>
          <w:szCs w:val="32"/>
        </w:rPr>
        <w:t>，</w:t>
      </w:r>
      <w:r>
        <w:rPr>
          <w:rFonts w:ascii="仿宋" w:hAnsi="仿宋" w:eastAsia="仿宋" w:cs="Arial"/>
          <w:kern w:val="0"/>
          <w:sz w:val="32"/>
          <w:szCs w:val="32"/>
        </w:rPr>
        <w:t>每年定期进行日常巡查和年度验收</w:t>
      </w:r>
      <w:r>
        <w:rPr>
          <w:rFonts w:ascii="Arial" w:hAnsi="Arial" w:eastAsia="仿宋" w:cs="Arial"/>
          <w:kern w:val="0"/>
          <w:sz w:val="32"/>
          <w:szCs w:val="32"/>
        </w:rPr>
        <w:t> </w:t>
      </w:r>
      <w:r>
        <w:rPr>
          <w:rFonts w:ascii="仿宋" w:hAnsi="仿宋" w:eastAsia="仿宋" w:cs="Arial"/>
          <w:kern w:val="0"/>
          <w:sz w:val="32"/>
          <w:szCs w:val="32"/>
        </w:rPr>
        <w:t>。</w:t>
      </w:r>
    </w:p>
    <w:p>
      <w:pPr>
        <w:keepNext w:val="0"/>
        <w:keepLines w:val="0"/>
        <w:pageBreakBefore w:val="0"/>
        <w:kinsoku/>
        <w:wordWrap/>
        <w:overflowPunct/>
        <w:topLinePunct w:val="0"/>
        <w:autoSpaceDE/>
        <w:autoSpaceDN/>
        <w:bidi w:val="0"/>
        <w:adjustRightInd/>
        <w:snapToGrid/>
        <w:spacing w:line="540" w:lineRule="exact"/>
        <w:ind w:firstLine="64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ascii="仿宋" w:hAnsi="仿宋" w:eastAsia="仿宋" w:cs="Arial"/>
          <w:kern w:val="0"/>
          <w:sz w:val="32"/>
          <w:szCs w:val="32"/>
        </w:rPr>
      </w:pPr>
      <w:r>
        <w:rPr>
          <w:rFonts w:ascii="仿宋" w:hAnsi="仿宋" w:eastAsia="仿宋" w:cs="Arial"/>
          <w:kern w:val="0"/>
          <w:sz w:val="32"/>
          <w:szCs w:val="32"/>
        </w:rPr>
        <w:t>经过验收小组</w:t>
      </w:r>
      <w:r>
        <w:rPr>
          <w:rFonts w:hint="eastAsia" w:ascii="仿宋" w:hAnsi="仿宋" w:eastAsia="仿宋" w:cs="Arial"/>
          <w:kern w:val="0"/>
          <w:sz w:val="32"/>
          <w:szCs w:val="32"/>
          <w:lang w:eastAsia="zh-CN"/>
        </w:rPr>
        <w:t>自查自验，形成</w:t>
      </w:r>
      <w:r>
        <w:rPr>
          <w:rFonts w:ascii="仿宋" w:hAnsi="仿宋" w:eastAsia="仿宋" w:cs="Arial"/>
          <w:kern w:val="0"/>
          <w:sz w:val="32"/>
          <w:szCs w:val="32"/>
        </w:rPr>
        <w:t>总体</w:t>
      </w:r>
      <w:r>
        <w:rPr>
          <w:rFonts w:hint="eastAsia" w:ascii="仿宋" w:hAnsi="仿宋" w:eastAsia="仿宋" w:cs="Arial"/>
          <w:kern w:val="0"/>
          <w:sz w:val="32"/>
          <w:szCs w:val="32"/>
          <w:lang w:val="en-US" w:eastAsia="zh-CN"/>
        </w:rPr>
        <w:t>评价是：项目选项合理、并将资金利益最大化，按照项目前期规划完成</w:t>
      </w:r>
      <w:r>
        <w:rPr>
          <w:rFonts w:hint="eastAsia" w:ascii="仿宋" w:hAnsi="仿宋" w:eastAsia="仿宋" w:cs="Arial"/>
          <w:kern w:val="0"/>
          <w:sz w:val="32"/>
          <w:szCs w:val="32"/>
          <w:lang w:eastAsia="zh-CN"/>
        </w:rPr>
        <w:t>，该项目的实施</w:t>
      </w:r>
      <w:r>
        <w:rPr>
          <w:rFonts w:ascii="仿宋" w:hAnsi="仿宋" w:eastAsia="仿宋" w:cs="Arial"/>
          <w:kern w:val="0"/>
          <w:sz w:val="32"/>
          <w:szCs w:val="32"/>
        </w:rPr>
        <w:t>取得了良好的经济、社会和生态效益。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Arial"/>
          <w:kern w:val="0"/>
          <w:sz w:val="32"/>
          <w:szCs w:val="32"/>
        </w:rPr>
      </w:pPr>
      <w:r>
        <w:rPr>
          <w:rFonts w:hint="eastAsia" w:ascii="仿宋" w:hAnsi="仿宋" w:eastAsia="仿宋" w:cs="Arial"/>
          <w:kern w:val="0"/>
          <w:sz w:val="32"/>
          <w:szCs w:val="32"/>
          <w:lang w:eastAsia="zh-CN"/>
        </w:rPr>
        <w:t>验收小组</w:t>
      </w:r>
      <w:r>
        <w:rPr>
          <w:rFonts w:ascii="仿宋" w:hAnsi="仿宋" w:eastAsia="仿宋" w:cs="Arial"/>
          <w:kern w:val="0"/>
          <w:sz w:val="32"/>
          <w:szCs w:val="32"/>
        </w:rPr>
        <w:t>认为</w:t>
      </w:r>
      <w:r>
        <w:rPr>
          <w:rFonts w:hint="eastAsia" w:ascii="仿宋" w:hAnsi="仿宋" w:eastAsia="仿宋" w:cs="Arial"/>
          <w:kern w:val="0"/>
          <w:sz w:val="32"/>
          <w:szCs w:val="32"/>
        </w:rPr>
        <w:t>实施的</w:t>
      </w:r>
      <w:r>
        <w:rPr>
          <w:rFonts w:ascii="仿宋" w:hAnsi="仿宋" w:eastAsia="仿宋" w:cs="Arial"/>
          <w:kern w:val="0"/>
          <w:sz w:val="32"/>
          <w:szCs w:val="32"/>
        </w:rPr>
        <w:t>扶贫项目任务已全面完成，各项管理工作严格规范，达到了验收标准。</w:t>
      </w:r>
    </w:p>
    <w:p>
      <w:pPr>
        <w:keepNext w:val="0"/>
        <w:keepLines w:val="0"/>
        <w:pageBreakBefore w:val="0"/>
        <w:numPr>
          <w:ilvl w:val="0"/>
          <w:numId w:val="1"/>
        </w:numPr>
        <w:kinsoku/>
        <w:wordWrap/>
        <w:overflowPunct/>
        <w:topLinePunct w:val="0"/>
        <w:autoSpaceDE/>
        <w:autoSpaceDN/>
        <w:bidi w:val="0"/>
        <w:adjustRightInd/>
        <w:snapToGrid/>
        <w:spacing w:line="540" w:lineRule="exact"/>
        <w:ind w:firstLine="64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w:t>
      </w:r>
      <w:r>
        <w:rPr>
          <w:rFonts w:hint="eastAsia" w:ascii="仿宋" w:hAnsi="仿宋" w:eastAsia="仿宋" w:cs="Arial"/>
          <w:kern w:val="0"/>
          <w:sz w:val="32"/>
          <w:szCs w:val="32"/>
          <w:lang w:val="en-US" w:eastAsia="zh-CN"/>
        </w:rPr>
        <w:t>祁曼塔格乡祁曼塔格村</w:t>
      </w:r>
      <w:r>
        <w:rPr>
          <w:rStyle w:val="18"/>
          <w:rFonts w:hint="eastAsia" w:ascii="仿宋" w:hAnsi="仿宋" w:eastAsia="仿宋"/>
          <w:b w:val="0"/>
          <w:spacing w:val="-4"/>
          <w:sz w:val="32"/>
          <w:szCs w:val="32"/>
        </w:rPr>
        <w:t>财政项目支出绩效自评表》</w:t>
      </w:r>
    </w:p>
    <w:p>
      <w:pPr>
        <w:pStyle w:val="2"/>
        <w:numPr>
          <w:numId w:val="0"/>
        </w:numPr>
      </w:pPr>
      <w:bookmarkStart w:id="0" w:name="_GoBack"/>
      <w:bookmarkEnd w:id="0"/>
    </w:p>
    <w:tbl>
      <w:tblPr>
        <w:tblStyle w:val="16"/>
        <w:tblpPr w:leftFromText="180" w:rightFromText="180" w:vertAnchor="text" w:horzAnchor="page" w:tblpX="1232" w:tblpY="650"/>
        <w:tblOverlap w:val="never"/>
        <w:tblW w:w="9298" w:type="dxa"/>
        <w:tblInd w:w="0" w:type="dxa"/>
        <w:tblLayout w:type="fixed"/>
        <w:tblCellMar>
          <w:top w:w="0" w:type="dxa"/>
          <w:left w:w="108" w:type="dxa"/>
          <w:bottom w:w="0" w:type="dxa"/>
          <w:right w:w="108" w:type="dxa"/>
        </w:tblCellMar>
      </w:tblPr>
      <w:tblGrid>
        <w:gridCol w:w="765"/>
        <w:gridCol w:w="930"/>
        <w:gridCol w:w="1125"/>
        <w:gridCol w:w="3090"/>
        <w:gridCol w:w="1455"/>
        <w:gridCol w:w="1933"/>
      </w:tblGrid>
      <w:tr>
        <w:tblPrEx>
          <w:tblCellMar>
            <w:top w:w="0" w:type="dxa"/>
            <w:left w:w="108" w:type="dxa"/>
            <w:bottom w:w="0" w:type="dxa"/>
            <w:right w:w="108" w:type="dxa"/>
          </w:tblCellMar>
        </w:tblPrEx>
        <w:trPr>
          <w:trHeight w:val="405" w:hRule="atLeast"/>
        </w:trPr>
        <w:tc>
          <w:tcPr>
            <w:tcW w:w="9298" w:type="dxa"/>
            <w:gridSpan w:val="6"/>
            <w:tcBorders>
              <w:top w:val="nil"/>
              <w:left w:val="nil"/>
              <w:bottom w:val="nil"/>
              <w:right w:val="nil"/>
            </w:tcBorders>
            <w:shd w:val="clear" w:color="auto" w:fill="auto"/>
            <w:vAlign w:val="center"/>
          </w:tcPr>
          <w:p>
            <w:pPr>
              <w:widowControl/>
              <w:ind w:firstLine="964" w:firstLineChars="300"/>
              <w:jc w:val="both"/>
              <w:rPr>
                <w:rFonts w:hint="eastAsia" w:ascii="宋体" w:hAnsi="宋体" w:cs="宋体"/>
                <w:b/>
                <w:bCs/>
                <w:kern w:val="0"/>
                <w:sz w:val="32"/>
                <w:szCs w:val="32"/>
              </w:rPr>
            </w:pPr>
            <w:r>
              <w:rPr>
                <w:rFonts w:hint="eastAsia" w:ascii="宋体" w:hAnsi="宋体" w:cs="宋体"/>
                <w:b/>
                <w:bCs/>
                <w:kern w:val="0"/>
                <w:sz w:val="32"/>
                <w:szCs w:val="32"/>
                <w:lang w:val="en-US" w:eastAsia="zh-CN"/>
              </w:rPr>
              <w:t>2019年祁曼塔格乡祁曼塔格村财政</w:t>
            </w: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285" w:hRule="atLeast"/>
        </w:trPr>
        <w:tc>
          <w:tcPr>
            <w:tcW w:w="9298" w:type="dxa"/>
            <w:gridSpan w:val="6"/>
            <w:tcBorders>
              <w:top w:val="nil"/>
              <w:left w:val="nil"/>
              <w:bottom w:val="nil"/>
              <w:right w:val="nil"/>
            </w:tcBorders>
            <w:shd w:val="clear" w:color="auto" w:fill="auto"/>
            <w:vAlign w:val="center"/>
          </w:tcPr>
          <w:p>
            <w:pPr>
              <w:widowControl/>
              <w:jc w:val="center"/>
              <w:rPr>
                <w:rFonts w:hint="eastAsia" w:ascii="宋体" w:hAnsi="宋体" w:cs="宋体"/>
                <w:b/>
                <w:bCs/>
                <w:kern w:val="0"/>
                <w:sz w:val="32"/>
                <w:szCs w:val="32"/>
              </w:rPr>
            </w:pPr>
            <w:r>
              <w:rPr>
                <w:rFonts w:hint="eastAsia" w:ascii="宋体" w:hAnsi="宋体" w:cs="宋体"/>
                <w:b/>
                <w:bCs/>
                <w:kern w:val="0"/>
                <w:sz w:val="32"/>
                <w:szCs w:val="32"/>
              </w:rPr>
              <w:t>（</w:t>
            </w:r>
            <w:r>
              <w:rPr>
                <w:rFonts w:hint="eastAsia" w:ascii="宋体" w:hAnsi="宋体" w:cs="宋体"/>
                <w:b/>
                <w:bCs/>
                <w:kern w:val="0"/>
                <w:sz w:val="32"/>
                <w:szCs w:val="32"/>
                <w:lang w:val="en-US" w:eastAsia="zh-CN"/>
              </w:rPr>
              <w:t>2019</w:t>
            </w:r>
            <w:r>
              <w:rPr>
                <w:rFonts w:hint="eastAsia" w:ascii="宋体" w:hAnsi="宋体" w:cs="宋体"/>
                <w:b/>
                <w:bCs/>
                <w:kern w:val="0"/>
                <w:sz w:val="32"/>
                <w:szCs w:val="32"/>
              </w:rPr>
              <w:t>年度）</w:t>
            </w:r>
          </w:p>
        </w:tc>
      </w:tr>
      <w:tr>
        <w:tblPrEx>
          <w:tblCellMar>
            <w:top w:w="0" w:type="dxa"/>
            <w:left w:w="108" w:type="dxa"/>
            <w:bottom w:w="0" w:type="dxa"/>
            <w:right w:w="108" w:type="dxa"/>
          </w:tblCellMar>
        </w:tblPrEx>
        <w:trPr>
          <w:trHeight w:val="420" w:hRule="atLeast"/>
        </w:trPr>
        <w:tc>
          <w:tcPr>
            <w:tcW w:w="28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647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祁曼塔格乡财政专项扶贫资金500饲草基地配套机械设备项目</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290" w:hRule="atLeast"/>
        </w:trPr>
        <w:tc>
          <w:tcPr>
            <w:tcW w:w="28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6478"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2019年中央提前下达若羌县第一批专项扶贫资金487万元</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465" w:hRule="atLeast"/>
        </w:trPr>
        <w:tc>
          <w:tcPr>
            <w:tcW w:w="7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309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40万元</w:t>
            </w:r>
            <w:r>
              <w:rPr>
                <w:rFonts w:hint="eastAsia" w:ascii="宋体" w:hAnsi="宋体" w:cs="宋体"/>
                <w:kern w:val="0"/>
                <w:sz w:val="20"/>
                <w:szCs w:val="20"/>
              </w:rPr>
              <w:t>　</w:t>
            </w:r>
          </w:p>
        </w:tc>
        <w:tc>
          <w:tcPr>
            <w:tcW w:w="145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9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37万元</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544" w:hRule="atLeast"/>
        </w:trPr>
        <w:tc>
          <w:tcPr>
            <w:tcW w:w="7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3090" w:type="dxa"/>
            <w:tcBorders>
              <w:top w:val="single" w:color="auto" w:sz="4" w:space="0"/>
              <w:left w:val="nil"/>
              <w:bottom w:val="single" w:color="auto" w:sz="4" w:space="0"/>
              <w:right w:val="single" w:color="000000" w:sz="4" w:space="0"/>
            </w:tcBorders>
            <w:shd w:val="clear" w:color="auto" w:fill="auto"/>
            <w:vAlign w:val="center"/>
          </w:tcPr>
          <w:p>
            <w:pPr>
              <w:widowControl/>
              <w:jc w:val="both"/>
              <w:rPr>
                <w:rFonts w:ascii="宋体" w:hAnsi="宋体" w:cs="宋体"/>
                <w:kern w:val="0"/>
                <w:sz w:val="20"/>
                <w:szCs w:val="20"/>
              </w:rPr>
            </w:pPr>
            <w:r>
              <w:rPr>
                <w:rFonts w:hint="eastAsia" w:ascii="宋体" w:hAnsi="宋体" w:cs="宋体"/>
                <w:kern w:val="0"/>
                <w:sz w:val="20"/>
                <w:szCs w:val="20"/>
                <w:lang w:val="en-US" w:eastAsia="zh-CN"/>
              </w:rPr>
              <w:t>40万元</w:t>
            </w:r>
            <w:r>
              <w:rPr>
                <w:rFonts w:hint="eastAsia" w:ascii="宋体" w:hAnsi="宋体" w:cs="宋体"/>
                <w:kern w:val="0"/>
                <w:sz w:val="20"/>
                <w:szCs w:val="20"/>
              </w:rPr>
              <w:t>　</w:t>
            </w:r>
          </w:p>
        </w:tc>
        <w:tc>
          <w:tcPr>
            <w:tcW w:w="1455"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40万元</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433" w:hRule="atLeast"/>
        </w:trPr>
        <w:tc>
          <w:tcPr>
            <w:tcW w:w="7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0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3090"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0</w:t>
            </w:r>
            <w:r>
              <w:rPr>
                <w:rFonts w:hint="eastAsia" w:ascii="宋体" w:hAnsi="宋体" w:cs="宋体"/>
                <w:kern w:val="0"/>
                <w:sz w:val="20"/>
                <w:szCs w:val="20"/>
              </w:rPr>
              <w:t>　</w:t>
            </w:r>
          </w:p>
        </w:tc>
        <w:tc>
          <w:tcPr>
            <w:tcW w:w="1455"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3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0</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345" w:hRule="atLeast"/>
        </w:trPr>
        <w:tc>
          <w:tcPr>
            <w:tcW w:w="7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514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3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CellMar>
            <w:top w:w="0" w:type="dxa"/>
            <w:left w:w="108" w:type="dxa"/>
            <w:bottom w:w="0" w:type="dxa"/>
            <w:right w:w="108" w:type="dxa"/>
          </w:tblCellMar>
        </w:tblPrEx>
        <w:trPr>
          <w:trHeight w:val="945" w:hRule="atLeast"/>
        </w:trPr>
        <w:tc>
          <w:tcPr>
            <w:tcW w:w="7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145" w:type="dxa"/>
            <w:gridSpan w:val="3"/>
            <w:tcBorders>
              <w:top w:val="single" w:color="auto" w:sz="4" w:space="0"/>
              <w:left w:val="nil"/>
              <w:bottom w:val="single" w:color="auto" w:sz="4" w:space="0"/>
              <w:right w:val="single" w:color="000000" w:sz="4" w:space="0"/>
            </w:tcBorders>
            <w:shd w:val="clear" w:color="auto" w:fill="auto"/>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购买饲草收割打包粉粹一体机、缠膜机、前置割草机、拢草机、拖拉机</w:t>
            </w:r>
          </w:p>
        </w:tc>
        <w:tc>
          <w:tcPr>
            <w:tcW w:w="3388"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 xml:space="preserve">已完成购买                                                                                                                                                                                                                                                                                                                                                                                                                                                                                                                                                                                                                                                                                                                                                                                                                                                                                                                                                                                                                                                                                                                                                                                                                                                                                                                                                                                                                                                                                                                                                                                                                                                                                                                                                                                                                                                                                                                                                                                                                                                                                                                                                                                                                                                                                                                                                                                                                                                                                                                                                                                                                                                                                                                                                                                                                                                                                                                                                                                                                                                                                                                                                                                                                                                                                                                                                                                                                                                                                                                                                                                                                                                                                                                                                                                                                                                                                                                                                                                                                                                                                                                                                                                                           </w:t>
            </w:r>
            <w:r>
              <w:rPr>
                <w:rFonts w:hint="eastAsia" w:ascii="宋体" w:hAnsi="宋体" w:cs="宋体"/>
                <w:kern w:val="0"/>
                <w:sz w:val="20"/>
                <w:szCs w:val="20"/>
                <w:lang w:val="en-US" w:eastAsia="zh-CN"/>
              </w:rPr>
              <w:t xml:space="preserve">                                                                                                                                                                                                                                                                                                                                                                                                                                                                                                                                                                                                                                                                                                                                                                                                                                                                                                                                                                                                                                                                                                                                                                                                                                                                                                                                                                                                                                                                                                                                                                                                                                                                                                                                                                                                                                                                                                                                                                                                                                                                                                                                                                                                                                                                                                                                                                                                                                                                                                                                                                                                                                                                                                                                                                                                                                                                                                                                                                                                                                                                                                                                                                                                                                                                                                                                                                                                                                                                                                                                                                                                                                                                                                                                                                                                                                                                                                                                                                                                                                                                                                                                                                                                                </w:t>
            </w:r>
            <w:r>
              <w:rPr>
                <w:rFonts w:hint="eastAsia" w:ascii="宋体" w:hAnsi="宋体" w:cs="宋体"/>
                <w:kern w:val="0"/>
                <w:sz w:val="20"/>
                <w:szCs w:val="20"/>
                <w:lang w:val="en-US" w:eastAsia="zh-CN"/>
              </w:rPr>
              <w:t xml:space="preserve">                                                                                                                                                                                                                                                                                                                                                                                                                                                                                                                                                                                                                                                                                                                                                                                                                                                                                                                                                                                                                                                                                                                                                                                                                                                                                                                                                                                                                                                                                                                                                                                                                                                                                                                                                           </w:t>
            </w:r>
          </w:p>
        </w:tc>
      </w:tr>
      <w:tr>
        <w:tblPrEx>
          <w:tblCellMar>
            <w:top w:w="0" w:type="dxa"/>
            <w:left w:w="108" w:type="dxa"/>
            <w:bottom w:w="0" w:type="dxa"/>
            <w:right w:w="108" w:type="dxa"/>
          </w:tblCellMar>
        </w:tblPrEx>
        <w:trPr>
          <w:trHeight w:val="620" w:hRule="atLeast"/>
        </w:trPr>
        <w:tc>
          <w:tcPr>
            <w:tcW w:w="76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93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30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14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93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6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12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309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配套饲草料加工设备数量</w:t>
            </w:r>
          </w:p>
        </w:tc>
        <w:tc>
          <w:tcPr>
            <w:tcW w:w="145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1套</w:t>
            </w:r>
          </w:p>
        </w:tc>
        <w:tc>
          <w:tcPr>
            <w:tcW w:w="193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1套</w:t>
            </w:r>
          </w:p>
        </w:tc>
      </w:tr>
      <w:tr>
        <w:tblPrEx>
          <w:tblCellMar>
            <w:top w:w="0" w:type="dxa"/>
            <w:left w:w="108" w:type="dxa"/>
            <w:bottom w:w="0" w:type="dxa"/>
            <w:right w:w="108" w:type="dxa"/>
          </w:tblCellMar>
        </w:tblPrEx>
        <w:trPr>
          <w:trHeight w:val="375" w:hRule="atLeast"/>
        </w:trPr>
        <w:tc>
          <w:tcPr>
            <w:tcW w:w="76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309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饲草料种植规模</w:t>
            </w:r>
          </w:p>
        </w:tc>
        <w:tc>
          <w:tcPr>
            <w:tcW w:w="145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500亩</w:t>
            </w:r>
          </w:p>
        </w:tc>
        <w:tc>
          <w:tcPr>
            <w:tcW w:w="193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500亩</w:t>
            </w:r>
          </w:p>
        </w:tc>
      </w:tr>
      <w:tr>
        <w:tblPrEx>
          <w:tblCellMar>
            <w:top w:w="0" w:type="dxa"/>
            <w:left w:w="108" w:type="dxa"/>
            <w:bottom w:w="0" w:type="dxa"/>
            <w:right w:w="108" w:type="dxa"/>
          </w:tblCellMar>
        </w:tblPrEx>
        <w:trPr>
          <w:trHeight w:val="330" w:hRule="atLeast"/>
        </w:trPr>
        <w:tc>
          <w:tcPr>
            <w:tcW w:w="76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309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饲草料加工设备质量合格率</w:t>
            </w:r>
          </w:p>
        </w:tc>
        <w:tc>
          <w:tcPr>
            <w:tcW w:w="14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100%</w:t>
            </w:r>
          </w:p>
        </w:tc>
        <w:tc>
          <w:tcPr>
            <w:tcW w:w="193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100%</w:t>
            </w:r>
          </w:p>
        </w:tc>
      </w:tr>
      <w:tr>
        <w:tblPrEx>
          <w:tblCellMar>
            <w:top w:w="0" w:type="dxa"/>
            <w:left w:w="108" w:type="dxa"/>
            <w:bottom w:w="0" w:type="dxa"/>
            <w:right w:w="108" w:type="dxa"/>
          </w:tblCellMar>
        </w:tblPrEx>
        <w:trPr>
          <w:trHeight w:val="420" w:hRule="atLeast"/>
        </w:trPr>
        <w:tc>
          <w:tcPr>
            <w:tcW w:w="76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309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饲草种植成活率（%）</w:t>
            </w:r>
          </w:p>
        </w:tc>
        <w:tc>
          <w:tcPr>
            <w:tcW w:w="14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90</w:t>
            </w:r>
            <w:r>
              <w:rPr>
                <w:rFonts w:hint="eastAsia" w:ascii="宋体" w:hAnsi="宋体" w:cs="宋体"/>
                <w:kern w:val="0"/>
                <w:sz w:val="20"/>
                <w:szCs w:val="20"/>
              </w:rPr>
              <w:t>％</w:t>
            </w:r>
          </w:p>
        </w:tc>
        <w:tc>
          <w:tcPr>
            <w:tcW w:w="193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≥85％</w:t>
            </w:r>
          </w:p>
        </w:tc>
      </w:tr>
      <w:tr>
        <w:tblPrEx>
          <w:tblCellMar>
            <w:top w:w="0" w:type="dxa"/>
            <w:left w:w="108" w:type="dxa"/>
            <w:bottom w:w="0" w:type="dxa"/>
            <w:right w:w="108" w:type="dxa"/>
          </w:tblCellMar>
        </w:tblPrEx>
        <w:trPr>
          <w:trHeight w:val="474" w:hRule="atLeast"/>
        </w:trPr>
        <w:tc>
          <w:tcPr>
            <w:tcW w:w="76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5"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309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完工时限</w:t>
            </w:r>
          </w:p>
        </w:tc>
        <w:tc>
          <w:tcPr>
            <w:tcW w:w="145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2019年6月30日前</w:t>
            </w:r>
          </w:p>
        </w:tc>
        <w:tc>
          <w:tcPr>
            <w:tcW w:w="193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375" w:hRule="atLeast"/>
        </w:trPr>
        <w:tc>
          <w:tcPr>
            <w:tcW w:w="76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309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饲草料加工设备补助标准</w:t>
            </w:r>
          </w:p>
        </w:tc>
        <w:tc>
          <w:tcPr>
            <w:tcW w:w="14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37万元</w:t>
            </w:r>
          </w:p>
        </w:tc>
        <w:tc>
          <w:tcPr>
            <w:tcW w:w="193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37万元</w:t>
            </w:r>
          </w:p>
        </w:tc>
      </w:tr>
      <w:tr>
        <w:tblPrEx>
          <w:tblCellMar>
            <w:top w:w="0" w:type="dxa"/>
            <w:left w:w="108" w:type="dxa"/>
            <w:bottom w:w="0" w:type="dxa"/>
            <w:right w:w="108" w:type="dxa"/>
          </w:tblCellMar>
        </w:tblPrEx>
        <w:trPr>
          <w:trHeight w:val="390" w:hRule="atLeast"/>
        </w:trPr>
        <w:tc>
          <w:tcPr>
            <w:tcW w:w="76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309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每亩饲草种植成本</w:t>
            </w:r>
          </w:p>
        </w:tc>
        <w:tc>
          <w:tcPr>
            <w:tcW w:w="14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≤1300元</w:t>
            </w:r>
          </w:p>
        </w:tc>
        <w:tc>
          <w:tcPr>
            <w:tcW w:w="193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≤1300元</w:t>
            </w:r>
          </w:p>
        </w:tc>
      </w:tr>
      <w:tr>
        <w:tblPrEx>
          <w:tblCellMar>
            <w:top w:w="0" w:type="dxa"/>
            <w:left w:w="108" w:type="dxa"/>
            <w:bottom w:w="0" w:type="dxa"/>
            <w:right w:w="108" w:type="dxa"/>
          </w:tblCellMar>
        </w:tblPrEx>
        <w:trPr>
          <w:trHeight w:val="480" w:hRule="atLeast"/>
        </w:trPr>
        <w:tc>
          <w:tcPr>
            <w:tcW w:w="76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9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项目效果指标</w:t>
            </w:r>
          </w:p>
          <w:p>
            <w:pPr>
              <w:widowControl/>
              <w:jc w:val="center"/>
              <w:rPr>
                <w:rFonts w:hint="eastAsia" w:ascii="宋体" w:hAnsi="宋体" w:cs="宋体"/>
                <w:kern w:val="0"/>
                <w:sz w:val="20"/>
                <w:szCs w:val="20"/>
              </w:rPr>
            </w:pPr>
          </w:p>
          <w:p>
            <w:pPr>
              <w:widowControl/>
              <w:jc w:val="center"/>
              <w:rPr>
                <w:rFonts w:hint="eastAsia" w:ascii="宋体" w:hAnsi="宋体" w:cs="宋体"/>
                <w:kern w:val="0"/>
                <w:sz w:val="20"/>
                <w:szCs w:val="20"/>
              </w:rPr>
            </w:pPr>
          </w:p>
          <w:p>
            <w:pPr>
              <w:widowControl/>
              <w:jc w:val="center"/>
              <w:rPr>
                <w:rFonts w:hint="eastAsia" w:ascii="宋体" w:hAnsi="宋体" w:cs="宋体"/>
                <w:kern w:val="0"/>
                <w:sz w:val="20"/>
                <w:szCs w:val="20"/>
                <w:lang w:val="en-US" w:eastAsia="zh-CN"/>
              </w:rPr>
            </w:pPr>
          </w:p>
          <w:p>
            <w:pPr>
              <w:widowControl/>
              <w:jc w:val="center"/>
              <w:rPr>
                <w:rFonts w:hint="eastAsia" w:ascii="宋体" w:hAnsi="宋体" w:cs="宋体"/>
                <w:kern w:val="0"/>
                <w:sz w:val="20"/>
                <w:szCs w:val="20"/>
                <w:lang w:val="en-US" w:eastAsia="zh-CN"/>
              </w:rPr>
            </w:pPr>
          </w:p>
          <w:p>
            <w:pPr>
              <w:widowControl/>
              <w:jc w:val="center"/>
              <w:rPr>
                <w:rFonts w:hint="eastAsia" w:ascii="宋体" w:hAnsi="宋体" w:cs="宋体"/>
                <w:kern w:val="0"/>
                <w:sz w:val="20"/>
                <w:szCs w:val="20"/>
                <w:lang w:val="en-US" w:eastAsia="zh-CN"/>
              </w:rPr>
            </w:pPr>
          </w:p>
          <w:p>
            <w:pPr>
              <w:widowControl/>
              <w:jc w:val="center"/>
              <w:rPr>
                <w:rFonts w:hint="eastAsia" w:ascii="宋体" w:hAnsi="宋体" w:cs="宋体"/>
                <w:kern w:val="0"/>
                <w:sz w:val="20"/>
                <w:szCs w:val="20"/>
                <w:lang w:val="en-US" w:eastAsia="zh-CN"/>
              </w:rPr>
            </w:pPr>
          </w:p>
          <w:p>
            <w:pPr>
              <w:widowControl/>
              <w:jc w:val="center"/>
              <w:rPr>
                <w:rFonts w:hint="eastAsia" w:ascii="宋体" w:hAnsi="宋体" w:cs="宋体"/>
                <w:kern w:val="0"/>
                <w:sz w:val="20"/>
                <w:szCs w:val="20"/>
                <w:lang w:val="en-US" w:eastAsia="zh-CN"/>
              </w:rPr>
            </w:pPr>
          </w:p>
          <w:p>
            <w:pPr>
              <w:widowControl/>
              <w:jc w:val="center"/>
              <w:rPr>
                <w:rFonts w:hint="eastAsia" w:ascii="宋体" w:hAnsi="宋体" w:cs="宋体"/>
                <w:kern w:val="0"/>
                <w:sz w:val="20"/>
                <w:szCs w:val="20"/>
                <w:lang w:val="en-US" w:eastAsia="zh-CN"/>
              </w:rPr>
            </w:pPr>
          </w:p>
          <w:p>
            <w:pPr>
              <w:widowControl/>
              <w:jc w:val="center"/>
              <w:rPr>
                <w:rFonts w:hint="eastAsia" w:ascii="宋体" w:hAnsi="宋体" w:cs="宋体"/>
                <w:kern w:val="0"/>
                <w:sz w:val="20"/>
                <w:szCs w:val="20"/>
                <w:lang w:val="en-US" w:eastAsia="zh-CN"/>
              </w:rPr>
            </w:pPr>
          </w:p>
          <w:p>
            <w:pPr>
              <w:widowControl/>
              <w:jc w:val="center"/>
              <w:rPr>
                <w:rFonts w:hint="eastAsia" w:ascii="宋体" w:hAnsi="宋体" w:cs="宋体"/>
                <w:kern w:val="0"/>
                <w:sz w:val="20"/>
                <w:szCs w:val="20"/>
                <w:lang w:val="en-US" w:eastAsia="zh-CN"/>
              </w:rPr>
            </w:pPr>
          </w:p>
          <w:p>
            <w:pPr>
              <w:widowControl/>
              <w:jc w:val="center"/>
              <w:rPr>
                <w:rFonts w:hint="default" w:ascii="宋体" w:hAnsi="宋体" w:eastAsia="宋体" w:cs="宋体"/>
                <w:kern w:val="0"/>
                <w:sz w:val="20"/>
                <w:szCs w:val="20"/>
                <w:lang w:val="en-US" w:eastAsia="zh-CN"/>
              </w:rPr>
            </w:pPr>
          </w:p>
        </w:tc>
        <w:tc>
          <w:tcPr>
            <w:tcW w:w="1125"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309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带动建档立卡贫困户增收（户均）</w:t>
            </w:r>
          </w:p>
        </w:tc>
        <w:tc>
          <w:tcPr>
            <w:tcW w:w="14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≥2000元</w:t>
            </w:r>
          </w:p>
        </w:tc>
        <w:tc>
          <w:tcPr>
            <w:tcW w:w="193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≥2000元</w:t>
            </w:r>
          </w:p>
        </w:tc>
      </w:tr>
      <w:tr>
        <w:tblPrEx>
          <w:tblCellMar>
            <w:top w:w="0" w:type="dxa"/>
            <w:left w:w="108" w:type="dxa"/>
            <w:bottom w:w="0" w:type="dxa"/>
            <w:right w:w="108" w:type="dxa"/>
          </w:tblCellMar>
        </w:tblPrEx>
        <w:trPr>
          <w:trHeight w:val="509" w:hRule="atLeast"/>
        </w:trPr>
        <w:tc>
          <w:tcPr>
            <w:tcW w:w="7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扶持建档立卡贫困户数</w:t>
            </w:r>
          </w:p>
        </w:tc>
        <w:tc>
          <w:tcPr>
            <w:tcW w:w="14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43户</w:t>
            </w: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43户</w:t>
            </w:r>
          </w:p>
        </w:tc>
      </w:tr>
      <w:tr>
        <w:tblPrEx>
          <w:tblCellMar>
            <w:top w:w="0" w:type="dxa"/>
            <w:left w:w="108" w:type="dxa"/>
            <w:bottom w:w="0" w:type="dxa"/>
            <w:right w:w="108" w:type="dxa"/>
          </w:tblCellMar>
        </w:tblPrEx>
        <w:trPr>
          <w:trHeight w:val="480" w:hRule="atLeast"/>
        </w:trPr>
        <w:tc>
          <w:tcPr>
            <w:tcW w:w="7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通过扶贫项目开发，养殖项目畜在传统的草原和戈壁草场上放牧，自成体系，经过科学设计和建设，无环境污染，不仅符合国家要求,而且是发展绿色产业的支柱产业无环境污染</w:t>
            </w:r>
          </w:p>
        </w:tc>
        <w:tc>
          <w:tcPr>
            <w:tcW w:w="14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无环境污染</w:t>
            </w: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无环境污染</w:t>
            </w:r>
          </w:p>
        </w:tc>
      </w:tr>
      <w:tr>
        <w:tblPrEx>
          <w:tblCellMar>
            <w:top w:w="0" w:type="dxa"/>
            <w:left w:w="108" w:type="dxa"/>
            <w:bottom w:w="0" w:type="dxa"/>
            <w:right w:w="108" w:type="dxa"/>
          </w:tblCellMar>
        </w:tblPrEx>
        <w:trPr>
          <w:trHeight w:val="440" w:hRule="atLeast"/>
        </w:trPr>
        <w:tc>
          <w:tcPr>
            <w:tcW w:w="7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特色种植业提升土壤肥力面积</w:t>
            </w:r>
          </w:p>
        </w:tc>
        <w:tc>
          <w:tcPr>
            <w:tcW w:w="14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≥500亩</w:t>
            </w: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≥500亩</w:t>
            </w:r>
          </w:p>
        </w:tc>
      </w:tr>
      <w:tr>
        <w:tblPrEx>
          <w:tblCellMar>
            <w:top w:w="0" w:type="dxa"/>
            <w:left w:w="108" w:type="dxa"/>
            <w:bottom w:w="0" w:type="dxa"/>
            <w:right w:w="108" w:type="dxa"/>
          </w:tblCellMar>
        </w:tblPrEx>
        <w:trPr>
          <w:trHeight w:val="410" w:hRule="atLeast"/>
        </w:trPr>
        <w:tc>
          <w:tcPr>
            <w:tcW w:w="7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可持续影响指标</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形成稳定增收产业贫困户规模</w:t>
            </w:r>
          </w:p>
        </w:tc>
        <w:tc>
          <w:tcPr>
            <w:tcW w:w="14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43户</w:t>
            </w: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43户</w:t>
            </w:r>
          </w:p>
        </w:tc>
      </w:tr>
      <w:tr>
        <w:tblPrEx>
          <w:tblCellMar>
            <w:top w:w="0" w:type="dxa"/>
            <w:left w:w="108" w:type="dxa"/>
            <w:bottom w:w="0" w:type="dxa"/>
            <w:right w:w="108" w:type="dxa"/>
          </w:tblCellMar>
        </w:tblPrEx>
        <w:trPr>
          <w:trHeight w:val="395" w:hRule="atLeast"/>
        </w:trPr>
        <w:tc>
          <w:tcPr>
            <w:tcW w:w="7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93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1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提高贫困户人均纯收入增长率</w:t>
            </w:r>
          </w:p>
        </w:tc>
        <w:tc>
          <w:tcPr>
            <w:tcW w:w="14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r>
      <w:tr>
        <w:tblPrEx>
          <w:tblCellMar>
            <w:top w:w="0" w:type="dxa"/>
            <w:left w:w="108" w:type="dxa"/>
            <w:bottom w:w="0" w:type="dxa"/>
            <w:right w:w="108" w:type="dxa"/>
          </w:tblCellMar>
        </w:tblPrEx>
        <w:trPr>
          <w:trHeight w:val="315" w:hRule="atLeast"/>
        </w:trPr>
        <w:tc>
          <w:tcPr>
            <w:tcW w:w="7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9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30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项目受益户满意度</w:t>
            </w:r>
          </w:p>
        </w:tc>
        <w:tc>
          <w:tcPr>
            <w:tcW w:w="14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≥90％</w:t>
            </w: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≥90％</w:t>
            </w:r>
          </w:p>
        </w:tc>
      </w:tr>
    </w:tbl>
    <w:tbl>
      <w:tblPr>
        <w:tblStyle w:val="16"/>
        <w:tblpPr w:leftFromText="180" w:rightFromText="180" w:vertAnchor="text" w:horzAnchor="page" w:tblpX="895" w:tblpY="556"/>
        <w:tblOverlap w:val="never"/>
        <w:tblW w:w="10800" w:type="dxa"/>
        <w:tblInd w:w="0" w:type="dxa"/>
        <w:tblLayout w:type="autofit"/>
        <w:tblCellMar>
          <w:top w:w="0" w:type="dxa"/>
          <w:left w:w="108" w:type="dxa"/>
          <w:bottom w:w="0" w:type="dxa"/>
          <w:right w:w="108" w:type="dxa"/>
        </w:tblCellMar>
      </w:tblPr>
      <w:tblGrid>
        <w:gridCol w:w="10800"/>
      </w:tblGrid>
      <w:tr>
        <w:tblPrEx>
          <w:tblCellMar>
            <w:top w:w="0" w:type="dxa"/>
            <w:left w:w="108" w:type="dxa"/>
            <w:bottom w:w="0" w:type="dxa"/>
            <w:right w:w="108" w:type="dxa"/>
          </w:tblCellMar>
        </w:tblPrEx>
        <w:trPr>
          <w:trHeight w:val="405" w:hRule="atLeast"/>
        </w:trPr>
        <w:tc>
          <w:tcPr>
            <w:tcW w:w="10800" w:type="dxa"/>
            <w:tcBorders>
              <w:top w:val="nil"/>
              <w:left w:val="nil"/>
              <w:bottom w:val="nil"/>
              <w:right w:val="nil"/>
            </w:tcBorders>
            <w:shd w:val="clear" w:color="auto" w:fill="auto"/>
            <w:vAlign w:val="center"/>
          </w:tcPr>
          <w:p>
            <w:pPr>
              <w:widowControl/>
              <w:numPr>
                <w:ilvl w:val="0"/>
                <w:numId w:val="0"/>
              </w:numPr>
              <w:jc w:val="both"/>
              <w:rPr>
                <w:rStyle w:val="18"/>
                <w:rFonts w:hint="eastAsia" w:ascii="黑体" w:hAnsi="黑体" w:eastAsia="黑体"/>
                <w:b w:val="0"/>
                <w:spacing w:val="-4"/>
                <w:sz w:val="32"/>
                <w:szCs w:val="32"/>
              </w:rPr>
            </w:pPr>
          </w:p>
          <w:p>
            <w:pPr>
              <w:widowControl/>
              <w:numPr>
                <w:ilvl w:val="0"/>
                <w:numId w:val="0"/>
              </w:numPr>
              <w:ind w:firstLine="1928" w:firstLineChars="600"/>
              <w:jc w:val="both"/>
              <w:rPr>
                <w:rFonts w:ascii="宋体" w:hAnsi="宋体" w:cs="宋体"/>
                <w:b/>
                <w:bCs/>
                <w:kern w:val="0"/>
                <w:sz w:val="32"/>
                <w:szCs w:val="32"/>
              </w:rPr>
            </w:pPr>
          </w:p>
        </w:tc>
      </w:tr>
    </w:tbl>
    <w:p>
      <w:pPr>
        <w:tabs>
          <w:tab w:val="left" w:pos="2197"/>
        </w:tabs>
        <w:bidi w:val="0"/>
        <w:jc w:val="left"/>
        <w:rPr>
          <w:rStyle w:val="18"/>
          <w:rFonts w:hint="default" w:ascii="仿宋" w:hAnsi="仿宋" w:eastAsia="仿宋"/>
          <w:b w:val="0"/>
          <w:spacing w:val="-4"/>
          <w:sz w:val="32"/>
          <w:szCs w:val="32"/>
          <w:lang w:val="en-US" w:eastAsia="zh-CN"/>
        </w:rPr>
      </w:pPr>
    </w:p>
    <w:p>
      <w:pPr>
        <w:tabs>
          <w:tab w:val="left" w:pos="2197"/>
        </w:tabs>
        <w:bidi w:val="0"/>
        <w:jc w:val="left"/>
        <w:rPr>
          <w:rStyle w:val="18"/>
          <w:rFonts w:hint="default" w:ascii="仿宋" w:hAnsi="仿宋" w:eastAsia="仿宋"/>
          <w:b w:val="0"/>
          <w:spacing w:val="-4"/>
          <w:sz w:val="32"/>
          <w:szCs w:val="32"/>
          <w:lang w:val="en-US" w:eastAsia="zh-CN"/>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8EE46A"/>
    <w:multiLevelType w:val="singleLevel"/>
    <w:tmpl w:val="8C8EE46A"/>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1482D"/>
    <w:rsid w:val="002574E5"/>
    <w:rsid w:val="002C4BB1"/>
    <w:rsid w:val="003908B7"/>
    <w:rsid w:val="004366A8"/>
    <w:rsid w:val="00502BA7"/>
    <w:rsid w:val="005162F1"/>
    <w:rsid w:val="00535153"/>
    <w:rsid w:val="00554F82"/>
    <w:rsid w:val="0056390D"/>
    <w:rsid w:val="005719B0"/>
    <w:rsid w:val="005D10D6"/>
    <w:rsid w:val="00692944"/>
    <w:rsid w:val="006E6BB4"/>
    <w:rsid w:val="00780A6F"/>
    <w:rsid w:val="00855E3A"/>
    <w:rsid w:val="00922CB9"/>
    <w:rsid w:val="009838B7"/>
    <w:rsid w:val="009B0A0F"/>
    <w:rsid w:val="009E5CD9"/>
    <w:rsid w:val="00A26421"/>
    <w:rsid w:val="00A4293B"/>
    <w:rsid w:val="00A67D50"/>
    <w:rsid w:val="00A8691A"/>
    <w:rsid w:val="00AC1946"/>
    <w:rsid w:val="00AF30EA"/>
    <w:rsid w:val="00B40063"/>
    <w:rsid w:val="00B41F61"/>
    <w:rsid w:val="00BA46E6"/>
    <w:rsid w:val="00C56C72"/>
    <w:rsid w:val="00CA6457"/>
    <w:rsid w:val="00CC201C"/>
    <w:rsid w:val="00D17F2E"/>
    <w:rsid w:val="00D25540"/>
    <w:rsid w:val="00D30354"/>
    <w:rsid w:val="00DF42A0"/>
    <w:rsid w:val="00E2323E"/>
    <w:rsid w:val="00E769FE"/>
    <w:rsid w:val="00EA2CBE"/>
    <w:rsid w:val="00F32FEE"/>
    <w:rsid w:val="00FB10BB"/>
    <w:rsid w:val="00FE01C7"/>
    <w:rsid w:val="01B978F3"/>
    <w:rsid w:val="02AC043D"/>
    <w:rsid w:val="02DB6C8A"/>
    <w:rsid w:val="03714766"/>
    <w:rsid w:val="03FC498C"/>
    <w:rsid w:val="04E134D1"/>
    <w:rsid w:val="055B693D"/>
    <w:rsid w:val="06041368"/>
    <w:rsid w:val="06461557"/>
    <w:rsid w:val="0685203E"/>
    <w:rsid w:val="07021D52"/>
    <w:rsid w:val="08AD427E"/>
    <w:rsid w:val="098F0D6B"/>
    <w:rsid w:val="0A0E3517"/>
    <w:rsid w:val="0BF7643F"/>
    <w:rsid w:val="0C331551"/>
    <w:rsid w:val="0C5E18AF"/>
    <w:rsid w:val="0CD20759"/>
    <w:rsid w:val="0D433472"/>
    <w:rsid w:val="0DCD0460"/>
    <w:rsid w:val="0E482D46"/>
    <w:rsid w:val="0F315355"/>
    <w:rsid w:val="110A4509"/>
    <w:rsid w:val="11332557"/>
    <w:rsid w:val="114377CC"/>
    <w:rsid w:val="117B4BF0"/>
    <w:rsid w:val="13F25F5C"/>
    <w:rsid w:val="150814BE"/>
    <w:rsid w:val="15476F90"/>
    <w:rsid w:val="15747020"/>
    <w:rsid w:val="18B53FBC"/>
    <w:rsid w:val="1A8610C8"/>
    <w:rsid w:val="1BEC4477"/>
    <w:rsid w:val="1CBA5CFD"/>
    <w:rsid w:val="1D344A38"/>
    <w:rsid w:val="1EF86671"/>
    <w:rsid w:val="1FAD333B"/>
    <w:rsid w:val="1FC97144"/>
    <w:rsid w:val="1FD55F6E"/>
    <w:rsid w:val="22DA603F"/>
    <w:rsid w:val="22E73D87"/>
    <w:rsid w:val="244B22D9"/>
    <w:rsid w:val="273D0AEB"/>
    <w:rsid w:val="27945297"/>
    <w:rsid w:val="2B3D68C9"/>
    <w:rsid w:val="2CAF235F"/>
    <w:rsid w:val="2D0E6BF2"/>
    <w:rsid w:val="2D5B4E7C"/>
    <w:rsid w:val="2DF962CB"/>
    <w:rsid w:val="30D850DE"/>
    <w:rsid w:val="30F34B95"/>
    <w:rsid w:val="31307FEE"/>
    <w:rsid w:val="318D3596"/>
    <w:rsid w:val="3263758C"/>
    <w:rsid w:val="32DA622E"/>
    <w:rsid w:val="3357207B"/>
    <w:rsid w:val="336C2201"/>
    <w:rsid w:val="33735CC4"/>
    <w:rsid w:val="33754167"/>
    <w:rsid w:val="342A45DC"/>
    <w:rsid w:val="35D45105"/>
    <w:rsid w:val="37284299"/>
    <w:rsid w:val="38C84BFD"/>
    <w:rsid w:val="39D845D6"/>
    <w:rsid w:val="3BCB2930"/>
    <w:rsid w:val="3BE503CB"/>
    <w:rsid w:val="3BFD0C82"/>
    <w:rsid w:val="3D0F1F1E"/>
    <w:rsid w:val="3E0C6F83"/>
    <w:rsid w:val="3E321741"/>
    <w:rsid w:val="413B5A67"/>
    <w:rsid w:val="418078EF"/>
    <w:rsid w:val="42892381"/>
    <w:rsid w:val="441C2C1F"/>
    <w:rsid w:val="4703176F"/>
    <w:rsid w:val="4771688D"/>
    <w:rsid w:val="48464745"/>
    <w:rsid w:val="499752C7"/>
    <w:rsid w:val="49B24492"/>
    <w:rsid w:val="4B9B3CFC"/>
    <w:rsid w:val="4BEF55AF"/>
    <w:rsid w:val="4CED5B21"/>
    <w:rsid w:val="4FD74730"/>
    <w:rsid w:val="50452B88"/>
    <w:rsid w:val="51287297"/>
    <w:rsid w:val="51435C91"/>
    <w:rsid w:val="567805BB"/>
    <w:rsid w:val="578D49D5"/>
    <w:rsid w:val="59A211D7"/>
    <w:rsid w:val="5B786604"/>
    <w:rsid w:val="5BB354CA"/>
    <w:rsid w:val="5BFA2753"/>
    <w:rsid w:val="5D840459"/>
    <w:rsid w:val="5DA621F0"/>
    <w:rsid w:val="5E0607F3"/>
    <w:rsid w:val="5EB22E2D"/>
    <w:rsid w:val="5F001F36"/>
    <w:rsid w:val="5FEE131A"/>
    <w:rsid w:val="613D0E38"/>
    <w:rsid w:val="61635A35"/>
    <w:rsid w:val="62005394"/>
    <w:rsid w:val="63627787"/>
    <w:rsid w:val="64B27724"/>
    <w:rsid w:val="66D44ED6"/>
    <w:rsid w:val="68F42125"/>
    <w:rsid w:val="69FD4C6C"/>
    <w:rsid w:val="6A3B288B"/>
    <w:rsid w:val="6E522810"/>
    <w:rsid w:val="70112E45"/>
    <w:rsid w:val="70433FEF"/>
    <w:rsid w:val="721F433E"/>
    <w:rsid w:val="72465A4B"/>
    <w:rsid w:val="73416582"/>
    <w:rsid w:val="74BA07C0"/>
    <w:rsid w:val="74EC7612"/>
    <w:rsid w:val="74F041A2"/>
    <w:rsid w:val="75F3414F"/>
    <w:rsid w:val="763F2A9B"/>
    <w:rsid w:val="773672EF"/>
    <w:rsid w:val="77F53012"/>
    <w:rsid w:val="781E34CB"/>
    <w:rsid w:val="794275EC"/>
    <w:rsid w:val="7A687BBE"/>
    <w:rsid w:val="7B814964"/>
    <w:rsid w:val="7C5152FB"/>
    <w:rsid w:val="7CDB153F"/>
    <w:rsid w:val="7CDC144D"/>
    <w:rsid w:val="7D365F97"/>
    <w:rsid w:val="7E417285"/>
    <w:rsid w:val="7ECF5D08"/>
    <w:rsid w:val="7EE31657"/>
    <w:rsid w:val="7FCF02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3"/>
    <w:qFormat/>
    <w:uiPriority w:val="9"/>
    <w:rPr>
      <w:rFonts w:asciiTheme="majorHAnsi" w:hAnsiTheme="majorHAnsi" w:eastAsiaTheme="majorEastAsia"/>
      <w:b/>
      <w:bCs/>
      <w:kern w:val="32"/>
      <w:sz w:val="32"/>
      <w:szCs w:val="32"/>
    </w:rPr>
  </w:style>
  <w:style w:type="character" w:customStyle="1" w:styleId="21">
    <w:name w:val="标题 2 Char"/>
    <w:basedOn w:val="17"/>
    <w:link w:val="4"/>
    <w:semiHidden/>
    <w:qFormat/>
    <w:uiPriority w:val="9"/>
    <w:rPr>
      <w:rFonts w:asciiTheme="majorHAnsi" w:hAnsiTheme="majorHAnsi" w:eastAsiaTheme="majorEastAsia"/>
      <w:b/>
      <w:bCs/>
      <w:i/>
      <w:iCs/>
      <w:sz w:val="28"/>
      <w:szCs w:val="28"/>
    </w:rPr>
  </w:style>
  <w:style w:type="character" w:customStyle="1" w:styleId="22">
    <w:name w:val="标题 3 Char"/>
    <w:basedOn w:val="17"/>
    <w:link w:val="2"/>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3"/>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 w:type="character" w:customStyle="1" w:styleId="46">
    <w:name w:val="font11"/>
    <w:basedOn w:val="17"/>
    <w:qFormat/>
    <w:uiPriority w:val="0"/>
    <w:rPr>
      <w:rFonts w:hint="eastAsia" w:ascii="宋体" w:hAnsi="宋体" w:eastAsia="宋体" w:cs="宋体"/>
      <w:color w:val="000000"/>
      <w:sz w:val="20"/>
      <w:szCs w:val="20"/>
      <w:u w:val="none"/>
    </w:rPr>
  </w:style>
  <w:style w:type="character" w:customStyle="1" w:styleId="47">
    <w:name w:val="font71"/>
    <w:basedOn w:val="17"/>
    <w:qFormat/>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198</Words>
  <Characters>1133</Characters>
  <Lines>9</Lines>
  <Paragraphs>2</Paragraphs>
  <TotalTime>1</TotalTime>
  <ScaleCrop>false</ScaleCrop>
  <LinksUpToDate>false</LinksUpToDate>
  <CharactersWithSpaces>1329</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2019-12-26T04:43:00Z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