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 w:hAnsi="仿宋" w:eastAsia="仿宋" w:cs="宋体"/>
          <w:kern w:val="0"/>
          <w:sz w:val="32"/>
          <w:szCs w:val="3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方正小标宋简体" w:eastAsia="方正小标宋简体"/>
          <w:sz w:val="52"/>
          <w:szCs w:val="56"/>
        </w:rPr>
      </w:pPr>
      <w:r>
        <w:rPr>
          <w:rFonts w:hint="eastAsia" w:ascii="方正小标宋简体" w:eastAsia="方正小标宋简体"/>
          <w:sz w:val="52"/>
          <w:szCs w:val="56"/>
        </w:rPr>
        <w:t>若羌县铁干里克镇人民政府财政项目支出绩效自评报告</w:t>
      </w: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仿宋_GB2312" w:eastAsia="仿宋_GB2312"/>
          <w:sz w:val="48"/>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仿宋_GB2312" w:eastAsia="仿宋_GB2312"/>
          <w:sz w:val="48"/>
          <w:szCs w:val="52"/>
        </w:rPr>
      </w:pPr>
      <w:r>
        <w:rPr>
          <w:rFonts w:hint="eastAsia" w:ascii="仿宋_GB2312" w:eastAsia="仿宋_GB2312"/>
          <w:sz w:val="48"/>
          <w:szCs w:val="52"/>
        </w:rPr>
        <w:t>（201</w:t>
      </w:r>
      <w:r>
        <w:rPr>
          <w:rFonts w:hint="eastAsia" w:ascii="仿宋_GB2312" w:eastAsia="仿宋_GB2312"/>
          <w:sz w:val="48"/>
          <w:szCs w:val="52"/>
          <w:lang w:val="en-US" w:eastAsia="zh-CN"/>
        </w:rPr>
        <w:t>9</w:t>
      </w:r>
      <w:r>
        <w:rPr>
          <w:rFonts w:hint="eastAsia" w:ascii="仿宋_GB2312" w:eastAsia="仿宋_GB2312"/>
          <w:sz w:val="48"/>
          <w:szCs w:val="52"/>
        </w:rPr>
        <w:t>年度）</w:t>
      </w: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方正小标宋简体" w:eastAsia="方正小标宋简体"/>
          <w:sz w:val="52"/>
          <w:szCs w:val="5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ascii="方正小标宋简体" w:eastAsia="方正小标宋简体"/>
          <w:sz w:val="52"/>
          <w:szCs w:val="5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ascii="方正小标宋简体" w:eastAsia="方正小标宋简体"/>
          <w:sz w:val="48"/>
          <w:szCs w:val="52"/>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eastAsia="仿宋_GB2312"/>
          <w:sz w:val="32"/>
          <w:szCs w:val="32"/>
          <w:lang w:eastAsia="zh-CN"/>
        </w:rPr>
      </w:pPr>
      <w:r>
        <w:rPr>
          <w:rFonts w:hint="eastAsia" w:ascii="仿宋_GB2312" w:eastAsia="仿宋_GB2312"/>
          <w:sz w:val="32"/>
          <w:szCs w:val="32"/>
        </w:rPr>
        <w:t>项目名称：铁干里克镇</w:t>
      </w:r>
      <w:r>
        <w:rPr>
          <w:rFonts w:hint="eastAsia" w:ascii="仿宋_GB2312" w:eastAsia="仿宋_GB2312"/>
          <w:sz w:val="32"/>
          <w:szCs w:val="32"/>
          <w:lang w:eastAsia="zh-CN"/>
        </w:rPr>
        <w:t>“以奖代补”</w:t>
      </w:r>
      <w:bookmarkStart w:id="0" w:name="_GoBack"/>
      <w:bookmarkEnd w:id="0"/>
      <w:r>
        <w:rPr>
          <w:rFonts w:hint="eastAsia" w:ascii="仿宋_GB2312" w:eastAsia="仿宋_GB2312"/>
          <w:sz w:val="32"/>
          <w:szCs w:val="32"/>
          <w:lang w:eastAsia="zh-CN"/>
        </w:rPr>
        <w:t>项目</w:t>
      </w:r>
    </w:p>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_GB2312" w:eastAsia="仿宋_GB2312"/>
          <w:sz w:val="32"/>
          <w:szCs w:val="32"/>
        </w:rPr>
      </w:pPr>
      <w:r>
        <w:rPr>
          <w:rFonts w:hint="eastAsia" w:ascii="仿宋_GB2312" w:eastAsia="仿宋_GB2312"/>
          <w:sz w:val="32"/>
          <w:szCs w:val="32"/>
        </w:rPr>
        <w:t>实施单位（公章）：铁干里克镇人民政府</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eastAsia="仿宋_GB2312"/>
          <w:sz w:val="32"/>
          <w:szCs w:val="32"/>
          <w:lang w:eastAsia="zh-CN"/>
        </w:rPr>
      </w:pPr>
      <w:r>
        <w:rPr>
          <w:rFonts w:hint="eastAsia" w:ascii="仿宋_GB2312" w:eastAsia="仿宋_GB2312"/>
          <w:sz w:val="32"/>
          <w:szCs w:val="32"/>
        </w:rPr>
        <w:t>主管部门（公章）：</w:t>
      </w:r>
      <w:r>
        <w:rPr>
          <w:rFonts w:hint="eastAsia" w:ascii="仿宋_GB2312" w:eastAsia="仿宋_GB2312"/>
          <w:sz w:val="32"/>
          <w:szCs w:val="32"/>
          <w:lang w:eastAsia="zh-CN"/>
        </w:rPr>
        <w:t>若羌县扶贫开发领导小组</w:t>
      </w:r>
    </w:p>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_GB2312" w:eastAsia="仿宋_GB2312"/>
          <w:sz w:val="32"/>
          <w:szCs w:val="32"/>
        </w:rPr>
      </w:pPr>
      <w:r>
        <w:rPr>
          <w:rFonts w:hint="eastAsia" w:ascii="仿宋_GB2312" w:eastAsia="仿宋_GB2312"/>
          <w:sz w:val="32"/>
          <w:szCs w:val="32"/>
        </w:rPr>
        <w:t>项目负责人（签章）：肉孜·尕依提</w:t>
      </w:r>
    </w:p>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_GB2312" w:eastAsia="仿宋_GB2312"/>
          <w:sz w:val="32"/>
          <w:szCs w:val="32"/>
        </w:rPr>
      </w:pPr>
      <w:r>
        <w:rPr>
          <w:rFonts w:hint="eastAsia" w:ascii="仿宋_GB2312" w:eastAsia="仿宋_GB2312"/>
          <w:sz w:val="32"/>
          <w:szCs w:val="32"/>
        </w:rPr>
        <w:t>填报时间：201</w:t>
      </w:r>
      <w:r>
        <w:rPr>
          <w:rFonts w:hint="eastAsia" w:ascii="仿宋_GB2312" w:eastAsia="仿宋_GB2312"/>
          <w:sz w:val="32"/>
          <w:szCs w:val="32"/>
          <w:lang w:val="en-US" w:eastAsia="zh-CN"/>
        </w:rPr>
        <w:t>9</w:t>
      </w:r>
      <w:r>
        <w:rPr>
          <w:rFonts w:hint="eastAsia" w:ascii="仿宋_GB2312" w:eastAsia="仿宋_GB2312"/>
          <w:sz w:val="32"/>
          <w:szCs w:val="32"/>
        </w:rPr>
        <w:t>年1</w:t>
      </w:r>
      <w:r>
        <w:rPr>
          <w:rFonts w:hint="eastAsia" w:ascii="仿宋_GB2312" w:eastAsia="仿宋_GB2312"/>
          <w:sz w:val="32"/>
          <w:szCs w:val="32"/>
          <w:lang w:val="en-US" w:eastAsia="zh-CN"/>
        </w:rPr>
        <w:t>0</w:t>
      </w:r>
      <w:r>
        <w:rPr>
          <w:rFonts w:hint="eastAsia" w:ascii="仿宋_GB2312" w:eastAsia="仿宋_GB2312"/>
          <w:sz w:val="32"/>
          <w:szCs w:val="32"/>
        </w:rPr>
        <w:t>月2</w:t>
      </w:r>
      <w:r>
        <w:rPr>
          <w:rFonts w:hint="eastAsia" w:ascii="仿宋_GB2312" w:eastAsia="仿宋_GB2312"/>
          <w:sz w:val="32"/>
          <w:szCs w:val="32"/>
          <w:lang w:val="en-US" w:eastAsia="zh-CN"/>
        </w:rPr>
        <w:t>1</w:t>
      </w:r>
      <w:r>
        <w:rPr>
          <w:rFonts w:hint="eastAsia" w:ascii="仿宋_GB2312" w:eastAsia="仿宋_GB2312"/>
          <w:sz w:val="32"/>
          <w:szCs w:val="32"/>
        </w:rPr>
        <w:t>日</w:t>
      </w:r>
    </w:p>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_GB2312" w:eastAsia="仿宋_GB2312"/>
          <w:sz w:val="44"/>
          <w:szCs w:val="48"/>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Style w:val="18"/>
          <w:rFonts w:ascii="黑体" w:hAnsi="黑体" w:eastAsia="黑体"/>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黑体" w:hAnsi="黑体" w:eastAsia="黑体"/>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黑体" w:hAnsi="黑体" w:eastAsia="黑体"/>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单位职能：宣传执行党的基本路线，认真贯彻落实党的方针、政策和上级党组织的决议、指示。对铁干里克镇的重大问题进行决策；研究制定本辖区经济、文化、社会发展规划和实施办法；依照法律和政策，运用经济法律和行政等各种手段，对全镇社会、经济、文化进行管理、监督和调控；维护社会秩序，不断改善社会、经济环境，为经济建设和人民生活创造良好的条件。领导本辖区的社会主义民主法制建设、社会文明建设、社会治安综合治理和计划生育等工作；负责辖区内社会公益事业的建设，促进科技、文化、教育、环保等各项社会事业的协调发展。负责抓好两个文明建设，搞好党的组织建设，思想建设和作风建设；着重建设好村党支部，做好农村政治思想方面的工作；加强法制建设，改善和加强党的领导。领导共青团和妇联等组织，搞好民族宗教和统一战线工作；团结各组人民，调到各方面的积极性，发展和振兴乡域经济。负责制定辖区社区工作，进一步加强对社区的管理和工作监督，长期坚持落实“四知四清掌握”工作机制，确保持续和谐稳定。负责农牧村工作和村委会建设，稳定和完善家庭联产承包责任制，发展统分结合、双层经营体制；大力发展农业、乡镇企业和第三产业，促进城乡社会、经济的共同发展；支持引导集体和私营经济的发展。负责保护国有资产、集体财产和公民的合法财产，保障企业和农村集体组织的合法权益。按照干部管理权限，负责对干部的教育、培养、选拔、考核和监督工作，抓好干部的培训和管理工作。完成县委、县政府交办的其他事项。</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kinsoku/>
        <w:wordWrap/>
        <w:overflowPunct/>
        <w:topLinePunct w:val="0"/>
        <w:autoSpaceDE/>
        <w:autoSpaceDN/>
        <w:bidi w:val="0"/>
        <w:spacing w:line="560" w:lineRule="exact"/>
        <w:ind w:left="0" w:leftChars="0" w:right="0" w:rightChars="0" w:firstLine="640" w:firstLineChars="200"/>
        <w:jc w:val="both"/>
        <w:textAlignment w:val="auto"/>
        <w:outlineLvl w:val="9"/>
        <w:rPr>
          <w:rFonts w:hint="default" w:ascii="黑体" w:hAnsi="黑体" w:eastAsia="黑体"/>
          <w:b/>
          <w:bCs/>
          <w:color w:val="auto"/>
          <w:sz w:val="32"/>
          <w:lang w:val="en-US" w:eastAsia="zh-CN"/>
        </w:rPr>
      </w:pPr>
      <w:r>
        <w:rPr>
          <w:rFonts w:hint="eastAsia" w:ascii="仿宋_GB2312" w:eastAsia="仿宋_GB2312"/>
          <w:sz w:val="32"/>
          <w:szCs w:val="32"/>
        </w:rPr>
        <w:t>1.主要建设内容：项目总投资</w:t>
      </w:r>
      <w:r>
        <w:rPr>
          <w:rFonts w:hint="eastAsia" w:ascii="仿宋_GB2312" w:eastAsia="仿宋_GB2312"/>
          <w:sz w:val="32"/>
          <w:szCs w:val="32"/>
          <w:lang w:val="en-US" w:eastAsia="zh-CN"/>
        </w:rPr>
        <w:t>5.98</w:t>
      </w:r>
      <w:r>
        <w:rPr>
          <w:rFonts w:hint="eastAsia" w:ascii="仿宋_GB2312" w:eastAsia="仿宋_GB2312"/>
          <w:sz w:val="32"/>
          <w:szCs w:val="32"/>
        </w:rPr>
        <w:t>万元，</w:t>
      </w:r>
      <w:r>
        <w:rPr>
          <w:rFonts w:hint="eastAsia" w:ascii="仿宋_GB2312" w:hAnsi="仿宋_GB2312" w:eastAsia="仿宋_GB2312" w:cs="仿宋_GB2312"/>
          <w:color w:val="auto"/>
          <w:sz w:val="32"/>
          <w:szCs w:val="32"/>
          <w:lang w:val="en-US" w:eastAsia="zh-CN"/>
        </w:rPr>
        <w:t>对实现稳定就业贫困户18人进行补助奖励，</w:t>
      </w:r>
      <w:r>
        <w:rPr>
          <w:rFonts w:hint="eastAsia" w:ascii="仿宋_GB2312" w:hAnsi="新宋体" w:eastAsia="仿宋_GB2312"/>
          <w:sz w:val="32"/>
          <w:lang w:eastAsia="zh-CN"/>
        </w:rPr>
        <w:t>稳定就业，并签订劳务合同1年以上，一次性补助4000元，扶持脱贫户</w:t>
      </w:r>
      <w:r>
        <w:rPr>
          <w:rFonts w:hint="eastAsia" w:ascii="仿宋_GB2312" w:hAnsi="新宋体" w:eastAsia="仿宋_GB2312"/>
          <w:sz w:val="32"/>
          <w:lang w:val="en-US" w:eastAsia="zh-CN"/>
        </w:rPr>
        <w:t>9</w:t>
      </w:r>
      <w:r>
        <w:rPr>
          <w:rFonts w:hint="eastAsia" w:ascii="仿宋_GB2312" w:hAnsi="新宋体" w:eastAsia="仿宋_GB2312"/>
          <w:sz w:val="32"/>
          <w:lang w:eastAsia="zh-CN"/>
        </w:rPr>
        <w:t>户；就业满一年，并签订合同，一次性补助3000元，扶持脱贫户</w:t>
      </w:r>
      <w:r>
        <w:rPr>
          <w:rFonts w:hint="eastAsia" w:ascii="仿宋_GB2312" w:hAnsi="新宋体" w:eastAsia="仿宋_GB2312"/>
          <w:sz w:val="32"/>
          <w:lang w:val="en-US" w:eastAsia="zh-CN"/>
        </w:rPr>
        <w:t>4</w:t>
      </w:r>
      <w:r>
        <w:rPr>
          <w:rFonts w:hint="eastAsia" w:ascii="仿宋_GB2312" w:hAnsi="新宋体" w:eastAsia="仿宋_GB2312"/>
          <w:sz w:val="32"/>
          <w:lang w:eastAsia="zh-CN"/>
        </w:rPr>
        <w:t>户；就业满十个月，并签订合同，一次性补助2800元，扶持脱贫户2户；就业满七个月，并签订合同，一次性补助2200元，扶持脱贫户1户；就业满六个月，并签订合同，一次性补助2000元，扶持脱贫户</w:t>
      </w:r>
      <w:r>
        <w:rPr>
          <w:rFonts w:hint="eastAsia" w:ascii="仿宋_GB2312" w:hAnsi="新宋体" w:eastAsia="仿宋_GB2312"/>
          <w:sz w:val="32"/>
          <w:lang w:val="en-US" w:eastAsia="zh-CN"/>
        </w:rPr>
        <w:t>2</w:t>
      </w:r>
      <w:r>
        <w:rPr>
          <w:rFonts w:hint="eastAsia" w:ascii="仿宋_GB2312" w:hAnsi="新宋体" w:eastAsia="仿宋_GB2312"/>
          <w:sz w:val="32"/>
          <w:lang w:eastAsia="zh-CN"/>
        </w:rPr>
        <w:t>户；</w:t>
      </w:r>
      <w:r>
        <w:rPr>
          <w:rFonts w:hint="eastAsia" w:ascii="仿宋_GB2312" w:hAnsi="新宋体" w:eastAsia="仿宋_GB2312"/>
          <w:sz w:val="32"/>
          <w:lang w:val="en-US" w:eastAsia="zh-CN"/>
        </w:rPr>
        <w:t>共计补助5.98万元。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2.主要目标任务：通过项目实施，可以有效地加快</w:t>
      </w:r>
      <w:r>
        <w:rPr>
          <w:rFonts w:hint="eastAsia" w:ascii="仿宋_GB2312" w:eastAsia="仿宋_GB2312"/>
          <w:sz w:val="32"/>
          <w:szCs w:val="32"/>
          <w:lang w:eastAsia="zh-CN"/>
        </w:rPr>
        <w:t>铁干里克镇各村（社区）贫困户庭院经济建设</w:t>
      </w:r>
      <w:r>
        <w:rPr>
          <w:rFonts w:hint="eastAsia" w:ascii="仿宋_GB2312" w:eastAsia="仿宋_GB2312"/>
          <w:sz w:val="32"/>
          <w:szCs w:val="32"/>
        </w:rPr>
        <w:t>发展步伐，提高</w:t>
      </w:r>
      <w:r>
        <w:rPr>
          <w:rFonts w:hint="eastAsia" w:ascii="仿宋_GB2312" w:eastAsia="仿宋_GB2312"/>
          <w:sz w:val="32"/>
          <w:szCs w:val="32"/>
          <w:lang w:eastAsia="zh-CN"/>
        </w:rPr>
        <w:t>贫困户增收</w:t>
      </w:r>
      <w:r>
        <w:rPr>
          <w:rFonts w:hint="eastAsia" w:ascii="仿宋_GB2312" w:eastAsia="仿宋_GB2312"/>
          <w:sz w:val="32"/>
          <w:szCs w:val="32"/>
        </w:rPr>
        <w:t>，预计户均年增收</w:t>
      </w:r>
      <w:r>
        <w:rPr>
          <w:rFonts w:hint="eastAsia" w:ascii="仿宋_GB2312" w:eastAsia="仿宋_GB2312"/>
          <w:sz w:val="32"/>
          <w:szCs w:val="32"/>
          <w:lang w:val="en-US" w:eastAsia="zh-CN"/>
        </w:rPr>
        <w:t>2000</w:t>
      </w:r>
      <w:r>
        <w:rPr>
          <w:rFonts w:hint="eastAsia" w:ascii="仿宋_GB2312" w:eastAsia="仿宋_GB2312"/>
          <w:sz w:val="32"/>
          <w:szCs w:val="32"/>
        </w:rPr>
        <w:t>元以上。</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18"/>
          <w:rFonts w:ascii="仿宋" w:hAnsi="仿宋" w:eastAsia="仿宋"/>
          <w:b w:val="0"/>
          <w:spacing w:val="-4"/>
          <w:sz w:val="32"/>
          <w:szCs w:val="32"/>
        </w:rPr>
      </w:pPr>
      <w:r>
        <w:rPr>
          <w:rFonts w:hint="eastAsia" w:ascii="仿宋_GB2312" w:eastAsia="仿宋_GB2312"/>
          <w:sz w:val="32"/>
          <w:szCs w:val="32"/>
        </w:rPr>
        <w:t>该项目总投资</w:t>
      </w:r>
      <w:r>
        <w:rPr>
          <w:rFonts w:hint="eastAsia" w:ascii="仿宋_GB2312" w:eastAsia="仿宋_GB2312"/>
          <w:sz w:val="32"/>
          <w:szCs w:val="32"/>
          <w:lang w:val="en-US" w:eastAsia="zh-CN"/>
        </w:rPr>
        <w:t>5.98</w:t>
      </w:r>
      <w:r>
        <w:rPr>
          <w:rFonts w:hint="eastAsia" w:ascii="仿宋_GB2312" w:eastAsia="仿宋_GB2312"/>
          <w:sz w:val="32"/>
          <w:szCs w:val="32"/>
        </w:rPr>
        <w:t>万元，来源全部为</w:t>
      </w:r>
      <w:r>
        <w:rPr>
          <w:rFonts w:hint="eastAsia" w:ascii="仿宋_GB2312" w:eastAsia="仿宋_GB2312"/>
          <w:sz w:val="32"/>
          <w:szCs w:val="32"/>
          <w:lang w:eastAsia="zh-CN"/>
        </w:rPr>
        <w:t>扶贫发展资金</w:t>
      </w:r>
      <w:r>
        <w:rPr>
          <w:rFonts w:hint="eastAsia" w:ascii="仿宋_GB2312" w:eastAsia="仿宋_GB2312"/>
          <w:sz w:val="32"/>
          <w:szCs w:val="32"/>
        </w:rPr>
        <w:t>。</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严格按照相关财政文件，该拨款全部用于铁干里克镇</w:t>
      </w:r>
      <w:r>
        <w:rPr>
          <w:rFonts w:hint="eastAsia" w:ascii="仿宋_GB2312" w:eastAsia="仿宋_GB2312"/>
          <w:sz w:val="32"/>
          <w:szCs w:val="32"/>
          <w:lang w:eastAsia="zh-CN"/>
        </w:rPr>
        <w:t>亚喀吾斯塘村庭院经济建设项目。</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为加强项目资金的使用管理，我镇所有项目资金的使用都严格按照《项目资金管理制度》和《财务管理制度》，在实施项目过程中按实按时支付，使项目资金能最大限度地发挥其作用。</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该项目于</w:t>
      </w:r>
      <w:r>
        <w:rPr>
          <w:rStyle w:val="18"/>
          <w:rFonts w:hint="eastAsia" w:ascii="仿宋_GB2312" w:hAnsi="仿宋" w:eastAsia="仿宋_GB2312"/>
          <w:b w:val="0"/>
          <w:spacing w:val="-4"/>
          <w:sz w:val="32"/>
          <w:szCs w:val="32"/>
        </w:rPr>
        <w:t>2019年4月30日前已将</w:t>
      </w:r>
      <w:r>
        <w:rPr>
          <w:rStyle w:val="18"/>
          <w:rFonts w:hint="eastAsia" w:ascii="仿宋_GB2312" w:hAnsi="仿宋" w:eastAsia="仿宋_GB2312"/>
          <w:b w:val="0"/>
          <w:spacing w:val="-4"/>
          <w:sz w:val="32"/>
          <w:szCs w:val="32"/>
          <w:lang w:eastAsia="zh-CN"/>
        </w:rPr>
        <w:t>5.98</w:t>
      </w:r>
      <w:r>
        <w:rPr>
          <w:rStyle w:val="18"/>
          <w:rFonts w:hint="eastAsia" w:ascii="仿宋_GB2312" w:hAnsi="仿宋" w:eastAsia="仿宋_GB2312"/>
          <w:b w:val="0"/>
          <w:spacing w:val="-4"/>
          <w:sz w:val="32"/>
          <w:szCs w:val="32"/>
        </w:rPr>
        <w:t>万元资金使用完毕</w:t>
      </w:r>
      <w:r>
        <w:rPr>
          <w:rStyle w:val="18"/>
          <w:rFonts w:hint="eastAsia" w:ascii="仿宋_GB2312" w:hAnsi="仿宋" w:eastAsia="仿宋_GB2312"/>
          <w:b w:val="0"/>
          <w:spacing w:val="-4"/>
          <w:sz w:val="32"/>
          <w:szCs w:val="32"/>
          <w:lang w:eastAsia="zh-CN"/>
        </w:rPr>
        <w:t>，奖补资金以按照项目计划全部发放到位。</w:t>
      </w:r>
      <w:r>
        <w:rPr>
          <w:rFonts w:hint="eastAsia" w:ascii="仿宋_GB2312" w:eastAsia="仿宋_GB2312"/>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lang w:eastAsia="zh-CN"/>
        </w:rPr>
        <w:t>年</w:t>
      </w:r>
      <w:r>
        <w:rPr>
          <w:rFonts w:hint="eastAsia" w:ascii="仿宋_GB2312" w:eastAsia="仿宋_GB2312"/>
          <w:sz w:val="32"/>
          <w:szCs w:val="32"/>
          <w:lang w:val="en-US" w:eastAsia="zh-CN"/>
        </w:rPr>
        <w:t>8</w:t>
      </w:r>
      <w:r>
        <w:rPr>
          <w:rFonts w:hint="eastAsia" w:ascii="仿宋_GB2312" w:eastAsia="仿宋_GB2312"/>
          <w:sz w:val="32"/>
          <w:szCs w:val="32"/>
          <w:lang w:eastAsia="zh-CN"/>
        </w:rPr>
        <w:t>月2</w:t>
      </w:r>
      <w:r>
        <w:rPr>
          <w:rFonts w:hint="eastAsia" w:ascii="仿宋_GB2312" w:eastAsia="仿宋_GB2312"/>
          <w:sz w:val="32"/>
          <w:szCs w:val="32"/>
          <w:lang w:val="en-US" w:eastAsia="zh-CN"/>
        </w:rPr>
        <w:t>0</w:t>
      </w:r>
      <w:r>
        <w:rPr>
          <w:rFonts w:hint="eastAsia" w:ascii="仿宋_GB2312" w:eastAsia="仿宋_GB2312"/>
          <w:sz w:val="32"/>
          <w:szCs w:val="32"/>
          <w:lang w:eastAsia="zh-CN"/>
        </w:rPr>
        <w:t>日，由若羌县扶贫开发领导小组牵头组织人社局等部门组成验收组对该项目进行验收。验收组一行通过查阅资料档案、实地查看工程建设情况一致同意该项目等级为合格，通过验收。</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宋体" w:hAnsi="宋体"/>
          <w:color w:val="auto"/>
          <w:kern w:val="0"/>
          <w:sz w:val="32"/>
        </w:rPr>
      </w:pPr>
      <w:r>
        <w:rPr>
          <w:rFonts w:hint="eastAsia" w:ascii="仿宋_GB2312" w:eastAsia="仿宋_GB2312"/>
          <w:b/>
          <w:color w:val="auto"/>
          <w:kern w:val="0"/>
          <w:sz w:val="32"/>
        </w:rPr>
        <w:t>1.建立目标责任制和责任追究制。</w:t>
      </w:r>
      <w:r>
        <w:rPr>
          <w:rFonts w:hint="eastAsia" w:ascii="仿宋_GB2312" w:eastAsia="仿宋_GB2312"/>
          <w:color w:val="auto"/>
          <w:kern w:val="0"/>
          <w:sz w:val="32"/>
        </w:rPr>
        <w:t>成立由</w:t>
      </w:r>
      <w:r>
        <w:rPr>
          <w:rFonts w:hint="eastAsia" w:ascii="仿宋_GB2312" w:eastAsia="仿宋_GB2312"/>
          <w:color w:val="auto"/>
          <w:kern w:val="0"/>
          <w:sz w:val="32"/>
          <w:lang w:eastAsia="zh-CN"/>
        </w:rPr>
        <w:t>镇</w:t>
      </w:r>
      <w:r>
        <w:rPr>
          <w:rFonts w:hint="eastAsia" w:ascii="仿宋_GB2312" w:eastAsia="仿宋_GB2312"/>
          <w:color w:val="auto"/>
          <w:kern w:val="0"/>
          <w:sz w:val="32"/>
        </w:rPr>
        <w:t>党委书记</w:t>
      </w:r>
      <w:r>
        <w:rPr>
          <w:rFonts w:hint="eastAsia" w:ascii="仿宋_GB2312" w:eastAsia="仿宋_GB2312"/>
          <w:color w:val="auto"/>
          <w:kern w:val="0"/>
          <w:sz w:val="32"/>
          <w:lang w:eastAsia="zh-CN"/>
        </w:rPr>
        <w:t>、</w:t>
      </w:r>
      <w:r>
        <w:rPr>
          <w:rFonts w:hint="eastAsia" w:ascii="仿宋_GB2312" w:eastAsia="仿宋_GB2312"/>
          <w:color w:val="auto"/>
          <w:kern w:val="0"/>
          <w:sz w:val="32"/>
        </w:rPr>
        <w:t>党委副书记、</w:t>
      </w:r>
      <w:r>
        <w:rPr>
          <w:rFonts w:hint="eastAsia" w:ascii="仿宋_GB2312" w:eastAsia="仿宋_GB2312"/>
          <w:color w:val="auto"/>
          <w:kern w:val="0"/>
          <w:sz w:val="32"/>
          <w:lang w:eastAsia="zh-CN"/>
        </w:rPr>
        <w:t>镇</w:t>
      </w:r>
      <w:r>
        <w:rPr>
          <w:rFonts w:hint="eastAsia" w:ascii="仿宋_GB2312" w:eastAsia="仿宋_GB2312"/>
          <w:color w:val="auto"/>
          <w:kern w:val="0"/>
          <w:sz w:val="32"/>
        </w:rPr>
        <w:t>长任组长，</w:t>
      </w:r>
      <w:r>
        <w:rPr>
          <w:rFonts w:hint="eastAsia" w:ascii="仿宋_GB2312" w:eastAsia="仿宋_GB2312"/>
          <w:color w:val="auto"/>
          <w:kern w:val="0"/>
          <w:sz w:val="32"/>
          <w:lang w:eastAsia="zh-CN"/>
        </w:rPr>
        <w:t>镇</w:t>
      </w:r>
      <w:r>
        <w:rPr>
          <w:rFonts w:hint="eastAsia" w:ascii="仿宋_GB2312" w:eastAsia="仿宋_GB2312"/>
          <w:color w:val="auto"/>
          <w:kern w:val="0"/>
          <w:sz w:val="32"/>
        </w:rPr>
        <w:t>纪委书记、村委会书记</w:t>
      </w:r>
      <w:r>
        <w:rPr>
          <w:rFonts w:hint="eastAsia" w:ascii="仿宋_GB2312" w:eastAsia="仿宋_GB2312"/>
          <w:color w:val="auto"/>
          <w:kern w:val="0"/>
          <w:sz w:val="32"/>
          <w:lang w:eastAsia="zh-CN"/>
        </w:rPr>
        <w:t>和</w:t>
      </w:r>
      <w:r>
        <w:rPr>
          <w:rFonts w:hint="eastAsia" w:ascii="仿宋_GB2312" w:eastAsia="仿宋_GB2312"/>
          <w:color w:val="auto"/>
          <w:kern w:val="0"/>
          <w:sz w:val="32"/>
        </w:rPr>
        <w:t>主任、驻村工作队队长、</w:t>
      </w:r>
      <w:r>
        <w:rPr>
          <w:rFonts w:hint="eastAsia" w:ascii="仿宋_GB2312" w:eastAsia="仿宋_GB2312"/>
          <w:color w:val="auto"/>
          <w:kern w:val="0"/>
          <w:sz w:val="32"/>
          <w:lang w:eastAsia="zh-CN"/>
        </w:rPr>
        <w:t>镇</w:t>
      </w:r>
      <w:r>
        <w:rPr>
          <w:rFonts w:hint="eastAsia" w:ascii="仿宋_GB2312" w:eastAsia="仿宋_GB2312"/>
          <w:color w:val="auto"/>
          <w:kern w:val="0"/>
          <w:sz w:val="32"/>
        </w:rPr>
        <w:t>财政负责人为成员的项目实施领导小组。</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560"/>
        <w:textAlignment w:val="auto"/>
        <w:rPr>
          <w:rFonts w:hint="eastAsia" w:ascii="仿宋_GB2312" w:eastAsia="仿宋_GB2312"/>
          <w:color w:val="auto"/>
          <w:kern w:val="0"/>
          <w:sz w:val="32"/>
        </w:rPr>
      </w:pPr>
      <w:r>
        <w:rPr>
          <w:rFonts w:hint="eastAsia" w:ascii="仿宋_GB2312" w:eastAsia="仿宋_GB2312"/>
          <w:b/>
          <w:color w:val="auto"/>
          <w:kern w:val="0"/>
          <w:sz w:val="32"/>
        </w:rPr>
        <w:t>2、严格执行县级报账制度。</w:t>
      </w:r>
      <w:r>
        <w:rPr>
          <w:rFonts w:hint="eastAsia" w:ascii="仿宋_GB2312" w:eastAsia="仿宋_GB2312"/>
          <w:color w:val="auto"/>
          <w:kern w:val="0"/>
          <w:sz w:val="32"/>
        </w:rPr>
        <w:t>严格按照县财政局下发的“扶贫专项资金拨付应提供的资料和资金拨付流程”的规定，认真执行县级保障提款，集中支付等有关规定，专门成立项目专账会计，切实加强项目的资金管理，实行专款专用。</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Style w:val="18"/>
          <w:rFonts w:ascii="仿宋" w:hAnsi="仿宋" w:eastAsia="仿宋"/>
          <w:b w:val="0"/>
          <w:spacing w:val="-4"/>
          <w:sz w:val="32"/>
          <w:szCs w:val="32"/>
        </w:rPr>
      </w:pPr>
      <w:r>
        <w:rPr>
          <w:rFonts w:hint="eastAsia" w:ascii="仿宋_GB2312" w:eastAsia="仿宋_GB2312"/>
          <w:b/>
          <w:color w:val="auto"/>
          <w:kern w:val="0"/>
          <w:sz w:val="32"/>
          <w:lang w:val="en-US" w:eastAsia="zh-CN"/>
        </w:rPr>
        <w:t>3</w:t>
      </w:r>
      <w:r>
        <w:rPr>
          <w:rFonts w:hint="eastAsia" w:ascii="仿宋_GB2312" w:eastAsia="仿宋_GB2312"/>
          <w:b/>
          <w:color w:val="auto"/>
          <w:kern w:val="0"/>
          <w:sz w:val="32"/>
        </w:rPr>
        <w:t>、严格执行公告公示制度。</w:t>
      </w:r>
      <w:r>
        <w:rPr>
          <w:rFonts w:hint="eastAsia" w:ascii="仿宋_GB2312" w:eastAsia="仿宋_GB2312"/>
          <w:color w:val="auto"/>
          <w:kern w:val="0"/>
          <w:sz w:val="32"/>
        </w:rPr>
        <w:t>严格推行项目资金公示公告制，实行事前公示、事后公告的制度。遵循公开、公正的原则对项目计划安排、项目建设内容和项目资金投入使用等方面的不同阶段，采取公示公告方式，接受群众和社会监督。</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rPr>
      </w:pPr>
      <w:r>
        <w:rPr>
          <w:rStyle w:val="18"/>
          <w:rFonts w:hint="eastAsia" w:ascii="黑体" w:hAnsi="黑体" w:eastAsia="黑体"/>
          <w:b w:val="0"/>
          <w:spacing w:val="-4"/>
          <w:sz w:val="32"/>
          <w:szCs w:val="32"/>
        </w:rPr>
        <w:t>四、项目绩效情况</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color w:val="auto"/>
          <w:kern w:val="0"/>
          <w:sz w:val="32"/>
        </w:rPr>
      </w:pPr>
      <w:r>
        <w:rPr>
          <w:rFonts w:hint="eastAsia" w:ascii="仿宋_GB2312" w:hAnsi="Times New Roman" w:eastAsia="仿宋_GB2312" w:cs="Times New Roman"/>
          <w:color w:val="auto"/>
          <w:kern w:val="0"/>
          <w:sz w:val="32"/>
        </w:rPr>
        <w:t>该项目</w:t>
      </w:r>
      <w:r>
        <w:rPr>
          <w:rFonts w:hint="eastAsia" w:ascii="仿宋_GB2312" w:hAnsi="Times New Roman" w:eastAsia="仿宋_GB2312" w:cs="Times New Roman"/>
          <w:color w:val="auto"/>
          <w:kern w:val="0"/>
          <w:sz w:val="32"/>
          <w:lang w:eastAsia="zh-CN"/>
        </w:rPr>
        <w:t>建设</w:t>
      </w:r>
      <w:r>
        <w:rPr>
          <w:rFonts w:hint="eastAsia" w:ascii="仿宋_GB2312" w:hAnsi="Times New Roman" w:eastAsia="仿宋_GB2312" w:cs="Times New Roman"/>
          <w:color w:val="auto"/>
          <w:kern w:val="0"/>
          <w:sz w:val="32"/>
        </w:rPr>
        <w:t>后，一切正常，达到了预期的效果。</w:t>
      </w:r>
    </w:p>
    <w:p>
      <w:pPr>
        <w:keepNext w:val="0"/>
        <w:keepLines w:val="0"/>
        <w:pageBreakBefore w:val="0"/>
        <w:kinsoku/>
        <w:wordWrap/>
        <w:overflowPunct/>
        <w:topLinePunct w:val="0"/>
        <w:autoSpaceDE/>
        <w:autoSpaceDN/>
        <w:bidi w:val="0"/>
        <w:spacing w:line="560" w:lineRule="exact"/>
        <w:ind w:left="0" w:leftChars="0" w:right="0" w:rightChars="0" w:firstLine="624" w:firstLineChars="200"/>
        <w:jc w:val="both"/>
        <w:textAlignment w:val="auto"/>
        <w:outlineLvl w:val="9"/>
        <w:rPr>
          <w:rFonts w:hint="default" w:ascii="仿宋_GB2312" w:hAnsi="宋体" w:eastAsia="仿宋_GB2312"/>
          <w:sz w:val="32"/>
          <w:lang w:val="en-US" w:eastAsia="zh-CN"/>
        </w:rPr>
      </w:pPr>
      <w:r>
        <w:rPr>
          <w:rStyle w:val="18"/>
          <w:rFonts w:hint="eastAsia" w:ascii="仿宋_GB2312" w:hAnsi="仿宋" w:eastAsia="仿宋_GB2312"/>
          <w:b w:val="0"/>
          <w:spacing w:val="-4"/>
          <w:sz w:val="32"/>
          <w:szCs w:val="32"/>
        </w:rPr>
        <w:t>2019年</w:t>
      </w:r>
      <w:r>
        <w:rPr>
          <w:rStyle w:val="18"/>
          <w:rFonts w:hint="eastAsia" w:ascii="仿宋_GB2312" w:hAnsi="仿宋" w:eastAsia="仿宋_GB2312"/>
          <w:b w:val="0"/>
          <w:spacing w:val="-4"/>
          <w:sz w:val="32"/>
          <w:szCs w:val="32"/>
          <w:lang w:val="en-US" w:eastAsia="zh-CN"/>
        </w:rPr>
        <w:t>4</w:t>
      </w:r>
      <w:r>
        <w:rPr>
          <w:rStyle w:val="18"/>
          <w:rFonts w:hint="eastAsia" w:ascii="仿宋_GB2312" w:hAnsi="仿宋" w:eastAsia="仿宋_GB2312"/>
          <w:b w:val="0"/>
          <w:spacing w:val="-4"/>
          <w:sz w:val="32"/>
          <w:szCs w:val="32"/>
        </w:rPr>
        <w:t>月30日前已</w:t>
      </w:r>
      <w:r>
        <w:rPr>
          <w:rStyle w:val="18"/>
          <w:rFonts w:hint="eastAsia" w:ascii="仿宋_GB2312" w:hAnsi="仿宋" w:eastAsia="仿宋_GB2312"/>
          <w:b w:val="0"/>
          <w:spacing w:val="-4"/>
          <w:sz w:val="32"/>
          <w:szCs w:val="32"/>
          <w:lang w:eastAsia="zh-CN"/>
        </w:rPr>
        <w:t>按照项目计划</w:t>
      </w:r>
      <w:r>
        <w:rPr>
          <w:rFonts w:hint="eastAsia" w:ascii="仿宋_GB2312" w:hAnsi="仿宋_GB2312" w:eastAsia="仿宋_GB2312" w:cs="仿宋_GB2312"/>
          <w:color w:val="auto"/>
          <w:sz w:val="32"/>
          <w:szCs w:val="32"/>
          <w:lang w:val="en-US" w:eastAsia="zh-CN"/>
        </w:rPr>
        <w:t>对实现稳定就业贫困户18人进行补助奖励，</w:t>
      </w:r>
      <w:r>
        <w:rPr>
          <w:rFonts w:hint="eastAsia" w:ascii="仿宋_GB2312" w:hAnsi="新宋体" w:eastAsia="仿宋_GB2312"/>
          <w:sz w:val="32"/>
          <w:lang w:eastAsia="zh-CN"/>
        </w:rPr>
        <w:t>稳定就业，并签订劳务合同1年以上，一次性补助4000元，扶持脱贫户</w:t>
      </w:r>
      <w:r>
        <w:rPr>
          <w:rFonts w:hint="eastAsia" w:ascii="仿宋_GB2312" w:hAnsi="新宋体" w:eastAsia="仿宋_GB2312"/>
          <w:sz w:val="32"/>
          <w:lang w:val="en-US" w:eastAsia="zh-CN"/>
        </w:rPr>
        <w:t>9</w:t>
      </w:r>
      <w:r>
        <w:rPr>
          <w:rFonts w:hint="eastAsia" w:ascii="仿宋_GB2312" w:hAnsi="新宋体" w:eastAsia="仿宋_GB2312"/>
          <w:sz w:val="32"/>
          <w:lang w:eastAsia="zh-CN"/>
        </w:rPr>
        <w:t>户；就业满一年，并签订合同，一次性补助3000元，扶持脱贫户</w:t>
      </w:r>
      <w:r>
        <w:rPr>
          <w:rFonts w:hint="eastAsia" w:ascii="仿宋_GB2312" w:hAnsi="新宋体" w:eastAsia="仿宋_GB2312"/>
          <w:sz w:val="32"/>
          <w:lang w:val="en-US" w:eastAsia="zh-CN"/>
        </w:rPr>
        <w:t>4</w:t>
      </w:r>
      <w:r>
        <w:rPr>
          <w:rFonts w:hint="eastAsia" w:ascii="仿宋_GB2312" w:hAnsi="新宋体" w:eastAsia="仿宋_GB2312"/>
          <w:sz w:val="32"/>
          <w:lang w:eastAsia="zh-CN"/>
        </w:rPr>
        <w:t>户；就业满十个月，并签订合同，一次性补助2800元，扶持脱贫户2户；就业满七个月，并签订合同，一次性补助2200元，扶持脱贫户1户；就业满六个月，并签订合同，一次性补助2000元，扶持脱贫户</w:t>
      </w:r>
      <w:r>
        <w:rPr>
          <w:rFonts w:hint="eastAsia" w:ascii="仿宋_GB2312" w:hAnsi="新宋体" w:eastAsia="仿宋_GB2312"/>
          <w:sz w:val="32"/>
          <w:lang w:val="en-US" w:eastAsia="zh-CN"/>
        </w:rPr>
        <w:t>2</w:t>
      </w:r>
      <w:r>
        <w:rPr>
          <w:rFonts w:hint="eastAsia" w:ascii="仿宋_GB2312" w:hAnsi="新宋体" w:eastAsia="仿宋_GB2312"/>
          <w:sz w:val="32"/>
          <w:lang w:eastAsia="zh-CN"/>
        </w:rPr>
        <w:t>户；</w:t>
      </w:r>
      <w:r>
        <w:rPr>
          <w:rFonts w:hint="eastAsia" w:ascii="仿宋_GB2312" w:hAnsi="新宋体" w:eastAsia="仿宋_GB2312"/>
          <w:sz w:val="32"/>
          <w:lang w:val="en-US" w:eastAsia="zh-CN"/>
        </w:rPr>
        <w:t>共计补助5.98万元</w:t>
      </w:r>
      <w:r>
        <w:rPr>
          <w:rFonts w:hint="eastAsia" w:ascii="仿宋_GB2312" w:hAnsi="宋体" w:eastAsia="仿宋_GB2312"/>
          <w:sz w:val="32"/>
          <w:lang w:val="en-US" w:eastAsia="zh-CN"/>
        </w:rPr>
        <w:t>，资金已于拨付完毕</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keepNext w:val="0"/>
        <w:keepLines w:val="0"/>
        <w:pageBreakBefore w:val="0"/>
        <w:kinsoku/>
        <w:wordWrap/>
        <w:overflowPunct/>
        <w:topLinePunct w:val="0"/>
        <w:autoSpaceDE/>
        <w:autoSpaceDN/>
        <w:bidi w:val="0"/>
        <w:adjustRightInd/>
        <w:snapToGrid/>
        <w:spacing w:line="560" w:lineRule="exact"/>
        <w:ind w:left="744"/>
        <w:textAlignment w:val="auto"/>
        <w:rPr>
          <w:rFonts w:ascii="仿宋_GB2312" w:eastAsia="仿宋_GB2312"/>
          <w:sz w:val="36"/>
          <w:szCs w:val="40"/>
        </w:rPr>
      </w:pPr>
      <w:r>
        <w:rPr>
          <w:rFonts w:hint="eastAsia" w:ascii="仿宋_GB2312" w:hAnsi="宋体" w:eastAsia="仿宋_GB2312" w:cs="Times New Roman"/>
          <w:sz w:val="32"/>
          <w:lang w:val="en-US" w:eastAsia="zh-CN"/>
        </w:rPr>
        <w:t>该项目已完工并投入运行，绩效目标均已完成。</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（一）后续工作计划</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b w:val="0"/>
          <w:spacing w:val="-4"/>
          <w:sz w:val="32"/>
          <w:szCs w:val="32"/>
          <w:lang w:eastAsia="zh-CN"/>
        </w:rPr>
      </w:pPr>
      <w:r>
        <w:rPr>
          <w:rStyle w:val="18"/>
          <w:rFonts w:hint="eastAsia" w:ascii="仿宋_GB2312" w:hAnsi="仿宋" w:eastAsia="仿宋_GB2312"/>
          <w:b w:val="0"/>
          <w:spacing w:val="-4"/>
          <w:sz w:val="32"/>
          <w:szCs w:val="32"/>
          <w:lang w:eastAsia="zh-CN"/>
        </w:rPr>
        <w:t>进一步加强项目后期监管工作，建立监管台账，定期走访查看贫困户养殖情况；</w:t>
      </w:r>
      <w:r>
        <w:rPr>
          <w:rFonts w:hint="eastAsia" w:ascii="仿宋_GB2312" w:hAnsi="宋体" w:eastAsia="仿宋_GB2312"/>
          <w:sz w:val="32"/>
          <w:lang w:eastAsia="zh-CN"/>
        </w:rPr>
        <w:t>乡兽医站为贫困户提供养殖技术指导和疾病防疫服务。</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bCs w:val="0"/>
          <w:spacing w:val="-4"/>
          <w:sz w:val="32"/>
          <w:szCs w:val="32"/>
          <w:lang w:eastAsia="zh-CN"/>
        </w:rPr>
      </w:pPr>
      <w:r>
        <w:rPr>
          <w:rStyle w:val="18"/>
          <w:rFonts w:hint="eastAsia" w:ascii="仿宋_GB2312" w:hAnsi="仿宋" w:eastAsia="仿宋_GB2312" w:cs="Times New Roman"/>
          <w:b/>
          <w:bCs w:val="0"/>
          <w:spacing w:val="-4"/>
          <w:sz w:val="32"/>
          <w:szCs w:val="32"/>
          <w:lang w:eastAsia="zh-CN"/>
        </w:rPr>
        <w:t>1.主要经验及做法</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一是上级主管部门领导高度重视，经常到施工工地进行检查指导，协调解决工程建设中存在的各项问题，为工程顺利建设提供保障。</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二是各参建单位通力协作，施工单位发现问题，及时</w:t>
      </w:r>
      <w:r>
        <w:rPr>
          <w:rFonts w:hint="eastAsia" w:ascii="仿宋_GB2312" w:eastAsia="仿宋_GB2312"/>
          <w:sz w:val="36"/>
          <w:szCs w:val="40"/>
        </w:rPr>
        <w:t>上报监</w:t>
      </w:r>
      <w:r>
        <w:rPr>
          <w:rStyle w:val="18"/>
          <w:rFonts w:hint="eastAsia" w:ascii="仿宋_GB2312" w:hAnsi="仿宋" w:eastAsia="仿宋_GB2312" w:cs="Times New Roman"/>
          <w:b w:val="0"/>
          <w:spacing w:val="-4"/>
          <w:sz w:val="32"/>
          <w:szCs w:val="32"/>
          <w:lang w:eastAsia="zh-CN"/>
        </w:rPr>
        <w:t>理部门和业主代表，有项目法人和监理组织有关参建单位技术人员共同研究讨论切实可行的解决方案。</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三是严格工程基本建设程序，实行项目法人制、招投标制、建设监理制，确保工程建设严格按照各项工程制度有序进行。</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四是严格控制工程建设质量，建立健全工程质量检查体系。工程质量控制由施工单位自检、监理单位复检、质量监督单位抽检以及设计单位、建设部门层层把关，确保工程质量达到设计标准。</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Fonts w:ascii="仿宋_GB2312" w:eastAsia="仿宋_GB2312"/>
          <w:b/>
          <w:bCs/>
          <w:sz w:val="36"/>
          <w:szCs w:val="40"/>
        </w:rPr>
      </w:pPr>
      <w:r>
        <w:rPr>
          <w:rStyle w:val="18"/>
          <w:rFonts w:hint="eastAsia" w:ascii="仿宋_GB2312" w:hAnsi="仿宋" w:eastAsia="仿宋_GB2312" w:cs="Times New Roman"/>
          <w:b w:val="0"/>
          <w:spacing w:val="-4"/>
          <w:sz w:val="32"/>
          <w:szCs w:val="32"/>
          <w:lang w:eastAsia="zh-CN"/>
        </w:rPr>
        <w:t>（建议）</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根据工程的施工、试运行，总结的经验有以下几点建议：</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bCs w:val="0"/>
          <w:spacing w:val="-4"/>
          <w:sz w:val="32"/>
          <w:szCs w:val="32"/>
          <w:lang w:eastAsia="zh-CN"/>
        </w:rPr>
      </w:pPr>
      <w:r>
        <w:rPr>
          <w:rStyle w:val="18"/>
          <w:rFonts w:hint="eastAsia" w:ascii="仿宋_GB2312" w:hAnsi="仿宋" w:eastAsia="仿宋_GB2312" w:cs="Times New Roman"/>
          <w:b/>
          <w:bCs w:val="0"/>
          <w:spacing w:val="-4"/>
          <w:sz w:val="32"/>
          <w:szCs w:val="32"/>
          <w:lang w:val="en-US" w:eastAsia="zh-CN"/>
        </w:rPr>
        <w:t>1.</w:t>
      </w:r>
      <w:r>
        <w:rPr>
          <w:rStyle w:val="18"/>
          <w:rFonts w:hint="eastAsia" w:ascii="仿宋_GB2312" w:hAnsi="仿宋" w:eastAsia="仿宋_GB2312" w:cs="Times New Roman"/>
          <w:b/>
          <w:bCs w:val="0"/>
          <w:spacing w:val="-4"/>
          <w:sz w:val="32"/>
          <w:szCs w:val="32"/>
          <w:lang w:eastAsia="zh-CN"/>
        </w:rPr>
        <w:t>对项目法人的建</w:t>
      </w:r>
      <w:r>
        <w:rPr>
          <w:rStyle w:val="18"/>
          <w:rFonts w:hint="eastAsia" w:ascii="仿宋_GB2312" w:hAnsi="仿宋" w:eastAsia="仿宋_GB2312" w:cs="Times New Roman"/>
          <w:b/>
          <w:bCs w:val="0"/>
          <w:spacing w:val="-4"/>
          <w:sz w:val="32"/>
          <w:szCs w:val="32"/>
          <w:lang w:val="en-US" w:eastAsia="zh-CN"/>
        </w:rPr>
        <w:t>议</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本项目法人为铁干里克镇人民政府，负责项目的施工管理、竣工验收等工作。竣工验收后项目法人应当及时向运行管理单位移交工程，确保工程管理运行正常。</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bCs w:val="0"/>
          <w:spacing w:val="-4"/>
          <w:sz w:val="32"/>
          <w:szCs w:val="32"/>
          <w:lang w:eastAsia="zh-CN"/>
        </w:rPr>
      </w:pPr>
      <w:r>
        <w:rPr>
          <w:rStyle w:val="18"/>
          <w:rFonts w:hint="eastAsia" w:ascii="仿宋_GB2312" w:hAnsi="仿宋" w:eastAsia="仿宋_GB2312" w:cs="Times New Roman"/>
          <w:b/>
          <w:bCs w:val="0"/>
          <w:spacing w:val="-4"/>
          <w:sz w:val="32"/>
          <w:szCs w:val="32"/>
          <w:lang w:val="en-US" w:eastAsia="zh-CN"/>
        </w:rPr>
        <w:t>2.</w:t>
      </w:r>
      <w:r>
        <w:rPr>
          <w:rStyle w:val="18"/>
          <w:rFonts w:hint="eastAsia" w:ascii="仿宋_GB2312" w:hAnsi="仿宋" w:eastAsia="仿宋_GB2312" w:cs="Times New Roman"/>
          <w:b/>
          <w:bCs w:val="0"/>
          <w:spacing w:val="-4"/>
          <w:sz w:val="32"/>
          <w:szCs w:val="32"/>
          <w:lang w:eastAsia="zh-CN"/>
        </w:rPr>
        <w:t>对运行管理单位的建议</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运行管理单位应按照工程运行中的重要内容环节如：用水管理和绩效评价等工作，加强提高工程管理水平、节约用水，保证安全运行，充分发挥工程效益。</w:t>
      </w:r>
    </w:p>
    <w:p>
      <w:pPr>
        <w:keepNext w:val="0"/>
        <w:keepLines w:val="0"/>
        <w:pageBreakBefore w:val="0"/>
        <w:numPr>
          <w:ilvl w:val="0"/>
          <w:numId w:val="1"/>
        </w:numPr>
        <w:kinsoku/>
        <w:wordWrap/>
        <w:overflowPunct/>
        <w:topLinePunct w:val="0"/>
        <w:autoSpaceDE/>
        <w:autoSpaceDN/>
        <w:bidi w:val="0"/>
        <w:adjustRightInd/>
        <w:snapToGrid/>
        <w:spacing w:line="560" w:lineRule="exact"/>
        <w:ind w:firstLine="640"/>
        <w:textAlignment w:val="auto"/>
        <w:rPr>
          <w:rFonts w:hint="eastAsia" w:ascii="楷体" w:hAnsi="楷体" w:eastAsia="楷体"/>
          <w:b/>
          <w:spacing w:val="-4"/>
          <w:sz w:val="32"/>
          <w:szCs w:val="32"/>
        </w:rPr>
      </w:pPr>
      <w:r>
        <w:rPr>
          <w:rFonts w:hint="eastAsia" w:ascii="楷体" w:hAnsi="楷体" w:eastAsia="楷体"/>
          <w:b/>
          <w:spacing w:val="-4"/>
          <w:sz w:val="32"/>
          <w:szCs w:val="32"/>
        </w:rPr>
        <w:t>其他</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宋体" w:eastAsia="仿宋_GB2312" w:cs="Times New Roman"/>
          <w:sz w:val="32"/>
          <w:lang w:eastAsia="zh-CN"/>
        </w:rPr>
      </w:pPr>
      <w:r>
        <w:rPr>
          <w:rFonts w:hint="eastAsia" w:ascii="仿宋_GB2312" w:hAnsi="宋体" w:eastAsia="仿宋_GB2312" w:cs="Times New Roman"/>
          <w:sz w:val="32"/>
          <w:lang w:eastAsia="zh-CN"/>
        </w:rPr>
        <w:t>无</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宋体" w:eastAsia="仿宋_GB2312" w:cs="Times New Roman"/>
          <w:sz w:val="32"/>
          <w:lang w:eastAsia="zh-CN"/>
        </w:rPr>
      </w:pPr>
      <w:r>
        <w:rPr>
          <w:rFonts w:hint="eastAsia" w:ascii="仿宋_GB2312" w:hAnsi="宋体" w:eastAsia="仿宋_GB2312" w:cs="Times New Roman"/>
          <w:sz w:val="32"/>
          <w:lang w:eastAsia="zh-CN"/>
        </w:rPr>
        <w:t>根据设计图纸，结合工程实际情况，由项目主管部门等单位组成工程验收组，对该工程进行了竣工验收。施工档案资料齐全、工程质量满足要求，一致同意工程质量等级为合格。</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w:t>
      </w:r>
      <w:r>
        <w:rPr>
          <w:rStyle w:val="18"/>
          <w:rFonts w:hint="eastAsia" w:ascii="仿宋" w:hAnsi="仿宋" w:eastAsia="仿宋"/>
          <w:b w:val="0"/>
          <w:spacing w:val="-4"/>
          <w:sz w:val="32"/>
          <w:szCs w:val="32"/>
          <w:lang w:eastAsia="zh-CN"/>
        </w:rPr>
        <w:t>若羌县铁干里克镇</w:t>
      </w:r>
      <w:r>
        <w:rPr>
          <w:rStyle w:val="18"/>
          <w:rFonts w:hint="eastAsia" w:ascii="仿宋" w:hAnsi="仿宋" w:eastAsia="仿宋"/>
          <w:b w:val="0"/>
          <w:spacing w:val="-4"/>
          <w:sz w:val="32"/>
          <w:szCs w:val="32"/>
        </w:rPr>
        <w:t>财政项目支出绩效自评表》</w:t>
      </w: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textAlignment w:val="auto"/>
        <w:rPr>
          <w:rStyle w:val="18"/>
          <w:rFonts w:hint="eastAsia" w:ascii="仿宋" w:hAnsi="仿宋" w:eastAsia="仿宋"/>
          <w:b w:val="0"/>
          <w:spacing w:val="-4"/>
          <w:sz w:val="32"/>
          <w:szCs w:val="32"/>
        </w:rPr>
      </w:pPr>
    </w:p>
    <w:tbl>
      <w:tblPr>
        <w:tblStyle w:val="16"/>
        <w:tblW w:w="9020" w:type="dxa"/>
        <w:tblInd w:w="93" w:type="dxa"/>
        <w:tblLayout w:type="fixed"/>
        <w:tblCellMar>
          <w:top w:w="0" w:type="dxa"/>
          <w:left w:w="108" w:type="dxa"/>
          <w:bottom w:w="0" w:type="dxa"/>
          <w:right w:w="108" w:type="dxa"/>
        </w:tblCellMar>
      </w:tblPr>
      <w:tblGrid>
        <w:gridCol w:w="720"/>
        <w:gridCol w:w="1140"/>
        <w:gridCol w:w="1024"/>
        <w:gridCol w:w="336"/>
        <w:gridCol w:w="1080"/>
        <w:gridCol w:w="880"/>
        <w:gridCol w:w="935"/>
        <w:gridCol w:w="1125"/>
        <w:gridCol w:w="259"/>
        <w:gridCol w:w="1521"/>
      </w:tblGrid>
      <w:tr>
        <w:tblPrEx>
          <w:tblCellMar>
            <w:top w:w="0" w:type="dxa"/>
            <w:left w:w="108" w:type="dxa"/>
            <w:bottom w:w="0" w:type="dxa"/>
            <w:right w:w="108" w:type="dxa"/>
          </w:tblCellMar>
        </w:tblPrEx>
        <w:trPr>
          <w:trHeight w:val="405" w:hRule="atLeast"/>
        </w:trPr>
        <w:tc>
          <w:tcPr>
            <w:tcW w:w="9020" w:type="dxa"/>
            <w:gridSpan w:val="10"/>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kern w:val="0"/>
                <w:sz w:val="32"/>
                <w:szCs w:val="32"/>
              </w:rPr>
            </w:pPr>
            <w:r>
              <w:rPr>
                <w:rFonts w:hint="eastAsia" w:ascii="宋体" w:hAnsi="宋体" w:cs="宋体"/>
                <w:b/>
                <w:bCs/>
                <w:kern w:val="0"/>
                <w:sz w:val="32"/>
                <w:szCs w:val="32"/>
                <w:u w:val="single"/>
                <w:lang w:eastAsia="zh-CN"/>
              </w:rPr>
              <w:t>若羌县铁干里克镇</w:t>
            </w:r>
            <w:r>
              <w:rPr>
                <w:rFonts w:hint="eastAsia" w:ascii="宋体" w:hAnsi="宋体" w:cs="宋体"/>
                <w:b/>
                <w:bCs/>
                <w:kern w:val="0"/>
                <w:sz w:val="32"/>
                <w:szCs w:val="32"/>
              </w:rPr>
              <w:t>财政项目支出绩效自评表</w:t>
            </w:r>
          </w:p>
        </w:tc>
      </w:tr>
      <w:tr>
        <w:tblPrEx>
          <w:tblCellMar>
            <w:top w:w="0" w:type="dxa"/>
            <w:left w:w="108" w:type="dxa"/>
            <w:bottom w:w="0" w:type="dxa"/>
            <w:right w:w="108" w:type="dxa"/>
          </w:tblCellMar>
        </w:tblPrEx>
        <w:trPr>
          <w:trHeight w:val="285" w:hRule="atLeast"/>
        </w:trPr>
        <w:tc>
          <w:tcPr>
            <w:tcW w:w="9020" w:type="dxa"/>
            <w:gridSpan w:val="10"/>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2019</w:t>
            </w:r>
            <w:r>
              <w:rPr>
                <w:rFonts w:hint="eastAsia" w:ascii="宋体" w:hAnsi="宋体" w:cs="宋体"/>
                <w:kern w:val="0"/>
                <w:sz w:val="24"/>
              </w:rPr>
              <w:t>年度）</w:t>
            </w:r>
          </w:p>
        </w:tc>
      </w:tr>
      <w:tr>
        <w:tblPrEx>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kern w:val="0"/>
                <w:sz w:val="24"/>
              </w:rPr>
            </w:pPr>
          </w:p>
        </w:tc>
        <w:tc>
          <w:tcPr>
            <w:tcW w:w="114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kern w:val="0"/>
                <w:sz w:val="24"/>
              </w:rPr>
            </w:pPr>
          </w:p>
        </w:tc>
        <w:tc>
          <w:tcPr>
            <w:tcW w:w="1360" w:type="dxa"/>
            <w:gridSpan w:val="2"/>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kern w:val="0"/>
                <w:sz w:val="24"/>
              </w:rPr>
            </w:pPr>
          </w:p>
        </w:tc>
        <w:tc>
          <w:tcPr>
            <w:tcW w:w="10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kern w:val="0"/>
                <w:sz w:val="24"/>
              </w:rPr>
            </w:pPr>
          </w:p>
        </w:tc>
        <w:tc>
          <w:tcPr>
            <w:tcW w:w="8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kern w:val="0"/>
                <w:sz w:val="24"/>
              </w:rPr>
            </w:pPr>
          </w:p>
        </w:tc>
        <w:tc>
          <w:tcPr>
            <w:tcW w:w="2060" w:type="dxa"/>
            <w:gridSpan w:val="2"/>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kern w:val="0"/>
                <w:sz w:val="24"/>
              </w:rPr>
            </w:pPr>
          </w:p>
        </w:tc>
        <w:tc>
          <w:tcPr>
            <w:tcW w:w="1780" w:type="dxa"/>
            <w:gridSpan w:val="2"/>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kern w:val="0"/>
                <w:sz w:val="24"/>
              </w:rPr>
            </w:pPr>
          </w:p>
        </w:tc>
      </w:tr>
      <w:tr>
        <w:tblPrEx>
          <w:tblCellMar>
            <w:top w:w="0" w:type="dxa"/>
            <w:left w:w="108" w:type="dxa"/>
            <w:bottom w:w="0" w:type="dxa"/>
            <w:right w:w="108" w:type="dxa"/>
          </w:tblCellMar>
        </w:tblPrEx>
        <w:trPr>
          <w:trHeight w:val="420" w:hRule="atLeast"/>
        </w:trPr>
        <w:tc>
          <w:tcPr>
            <w:tcW w:w="288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6136"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若羌县</w:t>
            </w:r>
            <w:r>
              <w:rPr>
                <w:rFonts w:hint="eastAsia" w:ascii="宋体" w:hAnsi="宋体" w:cs="宋体"/>
                <w:kern w:val="0"/>
                <w:sz w:val="20"/>
                <w:szCs w:val="20"/>
                <w:lang w:eastAsia="zh-CN"/>
              </w:rPr>
              <w:t>铁干里克镇转</w:t>
            </w:r>
            <w:r>
              <w:rPr>
                <w:rFonts w:hint="eastAsia" w:ascii="宋体" w:hAnsi="宋体" w:cs="宋体"/>
                <w:kern w:val="0"/>
                <w:sz w:val="20"/>
                <w:szCs w:val="20"/>
              </w:rPr>
              <w:t>转移就业“以奖代补”项目</w:t>
            </w:r>
          </w:p>
        </w:tc>
      </w:tr>
      <w:tr>
        <w:tblPrEx>
          <w:tblCellMar>
            <w:top w:w="0" w:type="dxa"/>
            <w:left w:w="108" w:type="dxa"/>
            <w:bottom w:w="0" w:type="dxa"/>
            <w:right w:w="108" w:type="dxa"/>
          </w:tblCellMar>
        </w:tblPrEx>
        <w:trPr>
          <w:trHeight w:val="435" w:hRule="atLeast"/>
        </w:trPr>
        <w:tc>
          <w:tcPr>
            <w:tcW w:w="288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6136"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若羌县</w:t>
            </w:r>
            <w:r>
              <w:rPr>
                <w:rFonts w:hint="eastAsia" w:ascii="宋体" w:hAnsi="宋体" w:cs="宋体"/>
                <w:kern w:val="0"/>
                <w:sz w:val="20"/>
                <w:szCs w:val="20"/>
                <w:lang w:eastAsia="zh-CN"/>
              </w:rPr>
              <w:t>铁干里克镇转</w:t>
            </w:r>
            <w:r>
              <w:rPr>
                <w:rFonts w:hint="eastAsia" w:ascii="宋体" w:hAnsi="宋体" w:cs="宋体"/>
                <w:kern w:val="0"/>
                <w:sz w:val="20"/>
                <w:szCs w:val="20"/>
              </w:rPr>
              <w:t>人民政府　</w:t>
            </w:r>
          </w:p>
        </w:tc>
      </w:tr>
      <w:tr>
        <w:tblPrEx>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1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3231"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5.98</w:t>
            </w:r>
            <w:r>
              <w:rPr>
                <w:rFonts w:hint="eastAsia" w:ascii="宋体" w:hAnsi="宋体" w:cs="宋体"/>
                <w:kern w:val="0"/>
                <w:sz w:val="20"/>
                <w:szCs w:val="20"/>
              </w:rPr>
              <w:t>　</w:t>
            </w:r>
          </w:p>
        </w:tc>
        <w:tc>
          <w:tcPr>
            <w:tcW w:w="1384"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52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5.98</w:t>
            </w:r>
            <w:r>
              <w:rPr>
                <w:rFonts w:hint="eastAsia" w:ascii="宋体" w:hAnsi="宋体" w:cs="宋体"/>
                <w:kern w:val="0"/>
                <w:sz w:val="20"/>
                <w:szCs w:val="20"/>
              </w:rPr>
              <w:t>　</w:t>
            </w:r>
          </w:p>
        </w:tc>
      </w:tr>
      <w:tr>
        <w:tblPrEx>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1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3231"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5.98</w:t>
            </w:r>
            <w:r>
              <w:rPr>
                <w:rFonts w:hint="eastAsia" w:ascii="宋体" w:hAnsi="宋体" w:cs="宋体"/>
                <w:kern w:val="0"/>
                <w:sz w:val="20"/>
                <w:szCs w:val="20"/>
              </w:rPr>
              <w:t>　</w:t>
            </w:r>
          </w:p>
        </w:tc>
        <w:tc>
          <w:tcPr>
            <w:tcW w:w="1384" w:type="dxa"/>
            <w:gridSpan w:val="2"/>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52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5.98</w:t>
            </w:r>
            <w:r>
              <w:rPr>
                <w:rFonts w:hint="eastAsia" w:ascii="宋体" w:hAnsi="宋体" w:cs="宋体"/>
                <w:kern w:val="0"/>
                <w:sz w:val="20"/>
                <w:szCs w:val="20"/>
              </w:rPr>
              <w:t>　</w:t>
            </w:r>
          </w:p>
        </w:tc>
      </w:tr>
      <w:tr>
        <w:tblPrEx>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1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3231"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384" w:type="dxa"/>
            <w:gridSpan w:val="2"/>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52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5395"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2905"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395" w:type="dxa"/>
            <w:gridSpan w:val="6"/>
            <w:tcBorders>
              <w:top w:val="single" w:color="auto" w:sz="4" w:space="0"/>
              <w:left w:val="nil"/>
              <w:bottom w:val="single" w:color="auto" w:sz="4" w:space="0"/>
              <w:right w:val="single" w:color="000000" w:sz="4" w:space="0"/>
            </w:tcBorders>
            <w:shd w:val="clear" w:color="auto" w:fill="auto"/>
          </w:tcPr>
          <w:p>
            <w:pPr>
              <w:tabs>
                <w:tab w:val="left" w:pos="2719"/>
              </w:tabs>
              <w:bidi w:val="0"/>
              <w:jc w:val="left"/>
              <w:rPr>
                <w:rFonts w:hint="eastAsia"/>
                <w:lang w:val="en-US" w:eastAsia="zh-CN"/>
              </w:rPr>
            </w:pPr>
          </w:p>
          <w:p>
            <w:pPr>
              <w:tabs>
                <w:tab w:val="left" w:pos="2719"/>
              </w:tabs>
              <w:bidi w:val="0"/>
              <w:jc w:val="left"/>
              <w:rPr>
                <w:rFonts w:hint="eastAsia"/>
                <w:lang w:val="en-US" w:eastAsia="zh-CN"/>
              </w:rPr>
            </w:pPr>
            <w:r>
              <w:rPr>
                <w:rFonts w:hint="eastAsia"/>
                <w:lang w:val="en-US" w:eastAsia="zh-CN"/>
              </w:rPr>
              <w:t>按照政府债券资金管理要求规范管理使用，于发行之日起3个月内将5.98万元资金使用完毕。</w:t>
            </w:r>
          </w:p>
        </w:tc>
        <w:tc>
          <w:tcPr>
            <w:tcW w:w="2905" w:type="dxa"/>
            <w:gridSpan w:val="3"/>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kern w:val="0"/>
                <w:sz w:val="20"/>
                <w:szCs w:val="20"/>
              </w:rPr>
            </w:pPr>
          </w:p>
          <w:p>
            <w:pPr>
              <w:widowControl/>
              <w:jc w:val="left"/>
              <w:rPr>
                <w:rFonts w:ascii="宋体" w:hAnsi="宋体" w:cs="宋体"/>
                <w:kern w:val="0"/>
                <w:sz w:val="20"/>
                <w:szCs w:val="20"/>
              </w:rPr>
            </w:pPr>
            <w:r>
              <w:rPr>
                <w:rFonts w:hint="eastAsia" w:ascii="宋体" w:hAnsi="宋体" w:cs="宋体"/>
                <w:kern w:val="0"/>
                <w:sz w:val="20"/>
                <w:szCs w:val="20"/>
              </w:rPr>
              <w:t>2019年4月30日前已将</w:t>
            </w:r>
            <w:r>
              <w:rPr>
                <w:rFonts w:hint="eastAsia" w:ascii="宋体" w:hAnsi="宋体" w:cs="宋体"/>
                <w:kern w:val="0"/>
                <w:sz w:val="20"/>
                <w:szCs w:val="20"/>
                <w:lang w:eastAsia="zh-CN"/>
              </w:rPr>
              <w:t>5.98</w:t>
            </w:r>
            <w:r>
              <w:rPr>
                <w:rFonts w:hint="eastAsia" w:ascii="宋体" w:hAnsi="宋体" w:cs="宋体"/>
                <w:kern w:val="0"/>
                <w:sz w:val="20"/>
                <w:szCs w:val="20"/>
              </w:rPr>
              <w:t>万元资金使用完毕</w:t>
            </w:r>
          </w:p>
        </w:tc>
      </w:tr>
      <w:tr>
        <w:tblPrEx>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02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3231"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1384"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52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CellMar>
            <w:top w:w="0" w:type="dxa"/>
            <w:left w:w="108" w:type="dxa"/>
            <w:bottom w:w="0" w:type="dxa"/>
            <w:right w:w="108" w:type="dxa"/>
          </w:tblCellMar>
        </w:tblPrEx>
        <w:trPr>
          <w:trHeight w:val="124"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024" w:type="dxa"/>
            <w:vMerge w:val="restart"/>
            <w:tcBorders>
              <w:top w:val="nil"/>
              <w:left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323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lang w:val="en-US" w:eastAsia="zh-CN"/>
              </w:rPr>
              <w:t>稳定就业时间满一年人数</w:t>
            </w:r>
          </w:p>
        </w:tc>
        <w:tc>
          <w:tcPr>
            <w:tcW w:w="13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lang w:val="en-US" w:eastAsia="zh-CN"/>
              </w:rPr>
              <w:t>9人</w:t>
            </w:r>
          </w:p>
        </w:tc>
        <w:tc>
          <w:tcPr>
            <w:tcW w:w="15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lang w:val="en-US" w:eastAsia="zh-CN"/>
              </w:rPr>
              <w:t>9人</w:t>
            </w:r>
          </w:p>
        </w:tc>
      </w:tr>
      <w:tr>
        <w:tblPrEx>
          <w:tblCellMar>
            <w:top w:w="0" w:type="dxa"/>
            <w:left w:w="108" w:type="dxa"/>
            <w:bottom w:w="0" w:type="dxa"/>
            <w:right w:w="108" w:type="dxa"/>
          </w:tblCellMar>
        </w:tblPrEx>
        <w:trPr>
          <w:trHeight w:val="124"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center"/>
            </w:pPr>
          </w:p>
        </w:tc>
        <w:tc>
          <w:tcPr>
            <w:tcW w:w="1140" w:type="dxa"/>
            <w:vMerge w:val="continue"/>
            <w:tcBorders>
              <w:left w:val="single" w:color="auto" w:sz="4" w:space="0"/>
              <w:right w:val="single" w:color="auto" w:sz="4" w:space="0"/>
            </w:tcBorders>
            <w:shd w:val="clear" w:color="auto" w:fill="auto"/>
            <w:vAlign w:val="center"/>
          </w:tcPr>
          <w:p>
            <w:pPr>
              <w:widowControl/>
              <w:jc w:val="center"/>
            </w:pPr>
          </w:p>
        </w:tc>
        <w:tc>
          <w:tcPr>
            <w:tcW w:w="1024" w:type="dxa"/>
            <w:vMerge w:val="continue"/>
            <w:tcBorders>
              <w:left w:val="single" w:color="auto" w:sz="4" w:space="0"/>
              <w:right w:val="single" w:color="auto" w:sz="4" w:space="0"/>
            </w:tcBorders>
            <w:shd w:val="clear" w:color="auto" w:fill="auto"/>
            <w:vAlign w:val="center"/>
          </w:tcPr>
          <w:p>
            <w:pPr>
              <w:widowControl/>
              <w:jc w:val="center"/>
            </w:pPr>
          </w:p>
        </w:tc>
        <w:tc>
          <w:tcPr>
            <w:tcW w:w="323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lang w:val="en-US" w:eastAsia="zh-CN"/>
              </w:rPr>
              <w:t>稳定就业时间满11个月人数</w:t>
            </w:r>
          </w:p>
        </w:tc>
        <w:tc>
          <w:tcPr>
            <w:tcW w:w="13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lang w:val="en-US" w:eastAsia="zh-CN"/>
              </w:rPr>
              <w:t>4人</w:t>
            </w:r>
          </w:p>
        </w:tc>
        <w:tc>
          <w:tcPr>
            <w:tcW w:w="15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lang w:val="en-US" w:eastAsia="zh-CN"/>
              </w:rPr>
              <w:t>4人</w:t>
            </w:r>
          </w:p>
        </w:tc>
      </w:tr>
      <w:tr>
        <w:tblPrEx>
          <w:tblCellMar>
            <w:top w:w="0" w:type="dxa"/>
            <w:left w:w="108" w:type="dxa"/>
            <w:bottom w:w="0" w:type="dxa"/>
            <w:right w:w="108" w:type="dxa"/>
          </w:tblCellMar>
        </w:tblPrEx>
        <w:trPr>
          <w:trHeight w:val="124"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kern w:val="0"/>
                <w:sz w:val="20"/>
                <w:szCs w:val="20"/>
              </w:rPr>
            </w:pPr>
          </w:p>
        </w:tc>
        <w:tc>
          <w:tcPr>
            <w:tcW w:w="1140" w:type="dxa"/>
            <w:vMerge w:val="continue"/>
            <w:tcBorders>
              <w:left w:val="single" w:color="auto" w:sz="4" w:space="0"/>
              <w:right w:val="single" w:color="auto" w:sz="4" w:space="0"/>
            </w:tcBorders>
            <w:shd w:val="clear" w:color="auto" w:fill="auto"/>
            <w:vAlign w:val="center"/>
          </w:tcPr>
          <w:p>
            <w:pPr>
              <w:widowControl/>
              <w:jc w:val="center"/>
              <w:rPr>
                <w:rFonts w:hint="eastAsia" w:ascii="仿宋" w:hAnsi="仿宋" w:eastAsia="仿宋" w:cs="仿宋"/>
                <w:kern w:val="0"/>
                <w:sz w:val="20"/>
                <w:szCs w:val="20"/>
              </w:rPr>
            </w:pPr>
          </w:p>
        </w:tc>
        <w:tc>
          <w:tcPr>
            <w:tcW w:w="1024" w:type="dxa"/>
            <w:vMerge w:val="continue"/>
            <w:tcBorders>
              <w:left w:val="single" w:color="auto" w:sz="4" w:space="0"/>
              <w:right w:val="single" w:color="auto" w:sz="4" w:space="0"/>
            </w:tcBorders>
            <w:shd w:val="clear" w:color="auto" w:fill="auto"/>
            <w:vAlign w:val="center"/>
          </w:tcPr>
          <w:p>
            <w:pPr>
              <w:widowControl/>
              <w:jc w:val="center"/>
              <w:rPr>
                <w:rFonts w:hint="eastAsia" w:ascii="仿宋" w:hAnsi="仿宋" w:eastAsia="仿宋" w:cs="仿宋"/>
                <w:kern w:val="0"/>
                <w:sz w:val="20"/>
                <w:szCs w:val="20"/>
              </w:rPr>
            </w:pPr>
          </w:p>
        </w:tc>
        <w:tc>
          <w:tcPr>
            <w:tcW w:w="323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lang w:val="en-US" w:eastAsia="zh-CN"/>
              </w:rPr>
              <w:t>稳定就业时间满10个月人数</w:t>
            </w:r>
          </w:p>
        </w:tc>
        <w:tc>
          <w:tcPr>
            <w:tcW w:w="13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lang w:val="en-US" w:eastAsia="zh-CN"/>
              </w:rPr>
              <w:t>2人</w:t>
            </w:r>
          </w:p>
        </w:tc>
        <w:tc>
          <w:tcPr>
            <w:tcW w:w="15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lang w:val="en-US" w:eastAsia="zh-CN"/>
              </w:rPr>
              <w:t>2人</w:t>
            </w:r>
          </w:p>
        </w:tc>
      </w:tr>
      <w:tr>
        <w:tblPrEx>
          <w:tblCellMar>
            <w:top w:w="0" w:type="dxa"/>
            <w:left w:w="108" w:type="dxa"/>
            <w:bottom w:w="0" w:type="dxa"/>
            <w:right w:w="108" w:type="dxa"/>
          </w:tblCellMar>
        </w:tblPrEx>
        <w:trPr>
          <w:trHeight w:val="124"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kern w:val="0"/>
                <w:sz w:val="20"/>
                <w:szCs w:val="20"/>
              </w:rPr>
            </w:pPr>
          </w:p>
        </w:tc>
        <w:tc>
          <w:tcPr>
            <w:tcW w:w="1140" w:type="dxa"/>
            <w:vMerge w:val="continue"/>
            <w:tcBorders>
              <w:left w:val="single" w:color="auto" w:sz="4" w:space="0"/>
              <w:right w:val="single" w:color="auto" w:sz="4" w:space="0"/>
            </w:tcBorders>
            <w:shd w:val="clear" w:color="auto" w:fill="auto"/>
            <w:vAlign w:val="center"/>
          </w:tcPr>
          <w:p>
            <w:pPr>
              <w:widowControl/>
              <w:jc w:val="center"/>
              <w:rPr>
                <w:rFonts w:hint="eastAsia" w:ascii="仿宋" w:hAnsi="仿宋" w:eastAsia="仿宋" w:cs="仿宋"/>
                <w:kern w:val="0"/>
                <w:sz w:val="20"/>
                <w:szCs w:val="20"/>
              </w:rPr>
            </w:pPr>
          </w:p>
        </w:tc>
        <w:tc>
          <w:tcPr>
            <w:tcW w:w="1024" w:type="dxa"/>
            <w:vMerge w:val="continue"/>
            <w:tcBorders>
              <w:left w:val="single" w:color="auto" w:sz="4" w:space="0"/>
              <w:right w:val="single" w:color="auto" w:sz="4" w:space="0"/>
            </w:tcBorders>
            <w:shd w:val="clear" w:color="auto" w:fill="auto"/>
            <w:vAlign w:val="center"/>
          </w:tcPr>
          <w:p>
            <w:pPr>
              <w:widowControl/>
              <w:jc w:val="center"/>
              <w:rPr>
                <w:rFonts w:hint="eastAsia" w:ascii="仿宋" w:hAnsi="仿宋" w:eastAsia="仿宋" w:cs="仿宋"/>
                <w:kern w:val="0"/>
                <w:sz w:val="20"/>
                <w:szCs w:val="20"/>
              </w:rPr>
            </w:pPr>
          </w:p>
        </w:tc>
        <w:tc>
          <w:tcPr>
            <w:tcW w:w="323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lang w:val="en-US" w:eastAsia="zh-CN"/>
              </w:rPr>
              <w:t>稳定就业时间满7个月人数</w:t>
            </w:r>
          </w:p>
        </w:tc>
        <w:tc>
          <w:tcPr>
            <w:tcW w:w="13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lang w:val="en-US" w:eastAsia="zh-CN"/>
              </w:rPr>
              <w:t>1人</w:t>
            </w:r>
          </w:p>
        </w:tc>
        <w:tc>
          <w:tcPr>
            <w:tcW w:w="15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lang w:val="en-US" w:eastAsia="zh-CN"/>
              </w:rPr>
              <w:t>1人</w:t>
            </w:r>
          </w:p>
        </w:tc>
      </w:tr>
      <w:tr>
        <w:tblPrEx>
          <w:tblCellMar>
            <w:top w:w="0" w:type="dxa"/>
            <w:left w:w="108" w:type="dxa"/>
            <w:bottom w:w="0" w:type="dxa"/>
            <w:right w:w="108" w:type="dxa"/>
          </w:tblCellMar>
        </w:tblPrEx>
        <w:trPr>
          <w:trHeight w:val="124" w:hRule="atLeast"/>
        </w:trPr>
        <w:tc>
          <w:tcPr>
            <w:tcW w:w="720" w:type="dxa"/>
            <w:vMerge w:val="continue"/>
            <w:tcBorders>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kern w:val="0"/>
                <w:sz w:val="20"/>
                <w:szCs w:val="20"/>
              </w:rPr>
            </w:pPr>
          </w:p>
        </w:tc>
        <w:tc>
          <w:tcPr>
            <w:tcW w:w="1140" w:type="dxa"/>
            <w:vMerge w:val="continue"/>
            <w:tcBorders>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kern w:val="0"/>
                <w:sz w:val="20"/>
                <w:szCs w:val="20"/>
              </w:rPr>
            </w:pPr>
          </w:p>
        </w:tc>
        <w:tc>
          <w:tcPr>
            <w:tcW w:w="1024" w:type="dxa"/>
            <w:vMerge w:val="continue"/>
            <w:tcBorders>
              <w:left w:val="single" w:color="auto" w:sz="4" w:space="0"/>
              <w:bottom w:val="single" w:color="000000" w:sz="4" w:space="0"/>
              <w:right w:val="single" w:color="auto" w:sz="4" w:space="0"/>
            </w:tcBorders>
            <w:shd w:val="clear" w:color="auto" w:fill="auto"/>
            <w:vAlign w:val="center"/>
          </w:tcPr>
          <w:p>
            <w:pPr>
              <w:widowControl/>
              <w:jc w:val="center"/>
              <w:rPr>
                <w:rFonts w:hint="eastAsia" w:ascii="仿宋" w:hAnsi="仿宋" w:eastAsia="仿宋" w:cs="仿宋"/>
                <w:kern w:val="0"/>
                <w:sz w:val="20"/>
                <w:szCs w:val="20"/>
              </w:rPr>
            </w:pPr>
          </w:p>
        </w:tc>
        <w:tc>
          <w:tcPr>
            <w:tcW w:w="323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lang w:val="en-US" w:eastAsia="zh-CN"/>
              </w:rPr>
              <w:t>稳定就业时间满6个月人数</w:t>
            </w:r>
          </w:p>
        </w:tc>
        <w:tc>
          <w:tcPr>
            <w:tcW w:w="13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lang w:val="en-US" w:eastAsia="zh-CN"/>
              </w:rPr>
              <w:t>2人</w:t>
            </w:r>
          </w:p>
        </w:tc>
        <w:tc>
          <w:tcPr>
            <w:tcW w:w="15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lang w:val="en-US" w:eastAsia="zh-CN"/>
              </w:rPr>
              <w:t>2人</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24"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3231"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政府债券资金规范管理使用率</w:t>
            </w:r>
          </w:p>
        </w:tc>
        <w:tc>
          <w:tcPr>
            <w:tcW w:w="13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100%</w:t>
            </w:r>
          </w:p>
        </w:tc>
        <w:tc>
          <w:tcPr>
            <w:tcW w:w="152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100%</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24"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3231"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政府债券资金三个月内形成支出</w:t>
            </w:r>
          </w:p>
        </w:tc>
        <w:tc>
          <w:tcPr>
            <w:tcW w:w="1384"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≤90天</w:t>
            </w:r>
          </w:p>
        </w:tc>
        <w:tc>
          <w:tcPr>
            <w:tcW w:w="1521"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≤90天</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24" w:type="dxa"/>
            <w:vMerge w:val="restart"/>
            <w:tcBorders>
              <w:top w:val="nil"/>
              <w:left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3231"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kern w:val="0"/>
                <w:sz w:val="20"/>
                <w:szCs w:val="20"/>
              </w:rPr>
            </w:pPr>
            <w:r>
              <w:rPr>
                <w:rFonts w:hint="eastAsia" w:ascii="仿宋" w:hAnsi="仿宋" w:eastAsia="仿宋" w:cs="仿宋"/>
                <w:i w:val="0"/>
                <w:color w:val="000000"/>
                <w:kern w:val="0"/>
                <w:sz w:val="20"/>
                <w:szCs w:val="20"/>
                <w:u w:val="none"/>
                <w:lang w:val="en-US" w:eastAsia="zh-CN" w:bidi="ar"/>
              </w:rPr>
              <w:t>稳定就业时间满一年，奖励标准</w:t>
            </w:r>
          </w:p>
        </w:tc>
        <w:tc>
          <w:tcPr>
            <w:tcW w:w="138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kern w:val="0"/>
                <w:sz w:val="20"/>
                <w:szCs w:val="20"/>
              </w:rPr>
            </w:pPr>
            <w:r>
              <w:rPr>
                <w:rFonts w:hint="eastAsia" w:ascii="仿宋" w:hAnsi="仿宋" w:eastAsia="仿宋" w:cs="仿宋"/>
                <w:i w:val="0"/>
                <w:color w:val="000000"/>
                <w:kern w:val="0"/>
                <w:sz w:val="20"/>
                <w:szCs w:val="20"/>
                <w:u w:val="none"/>
                <w:lang w:val="en-US" w:eastAsia="zh-CN" w:bidi="ar"/>
              </w:rPr>
              <w:t>4000元/人</w:t>
            </w:r>
          </w:p>
        </w:tc>
        <w:tc>
          <w:tcPr>
            <w:tcW w:w="152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kern w:val="0"/>
                <w:sz w:val="20"/>
                <w:szCs w:val="20"/>
              </w:rPr>
            </w:pPr>
            <w:r>
              <w:rPr>
                <w:rFonts w:hint="eastAsia" w:ascii="仿宋" w:hAnsi="仿宋" w:eastAsia="仿宋" w:cs="仿宋"/>
                <w:i w:val="0"/>
                <w:color w:val="000000"/>
                <w:kern w:val="0"/>
                <w:sz w:val="20"/>
                <w:szCs w:val="20"/>
                <w:u w:val="none"/>
                <w:lang w:val="en-US" w:eastAsia="zh-CN" w:bidi="ar"/>
              </w:rPr>
              <w:t>4000元/人</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24"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3231"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kern w:val="0"/>
                <w:sz w:val="20"/>
                <w:szCs w:val="20"/>
              </w:rPr>
            </w:pPr>
            <w:r>
              <w:rPr>
                <w:rFonts w:hint="eastAsia" w:ascii="仿宋" w:hAnsi="仿宋" w:eastAsia="仿宋" w:cs="仿宋"/>
                <w:i w:val="0"/>
                <w:color w:val="000000"/>
                <w:kern w:val="0"/>
                <w:sz w:val="20"/>
                <w:szCs w:val="20"/>
                <w:u w:val="none"/>
                <w:lang w:val="en-US" w:eastAsia="zh-CN" w:bidi="ar"/>
              </w:rPr>
              <w:t>稳定就业时间满11个月，奖励标准</w:t>
            </w:r>
          </w:p>
        </w:tc>
        <w:tc>
          <w:tcPr>
            <w:tcW w:w="138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kern w:val="0"/>
                <w:sz w:val="20"/>
                <w:szCs w:val="20"/>
              </w:rPr>
            </w:pPr>
            <w:r>
              <w:rPr>
                <w:rFonts w:hint="eastAsia" w:ascii="仿宋" w:hAnsi="仿宋" w:eastAsia="仿宋" w:cs="仿宋"/>
                <w:i w:val="0"/>
                <w:color w:val="000000"/>
                <w:kern w:val="0"/>
                <w:sz w:val="20"/>
                <w:szCs w:val="20"/>
                <w:u w:val="none"/>
                <w:lang w:val="en-US" w:eastAsia="zh-CN" w:bidi="ar"/>
              </w:rPr>
              <w:t>3000元/人</w:t>
            </w:r>
          </w:p>
        </w:tc>
        <w:tc>
          <w:tcPr>
            <w:tcW w:w="152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kern w:val="0"/>
                <w:sz w:val="20"/>
                <w:szCs w:val="20"/>
              </w:rPr>
            </w:pPr>
            <w:r>
              <w:rPr>
                <w:rFonts w:hint="eastAsia" w:ascii="仿宋" w:hAnsi="仿宋" w:eastAsia="仿宋" w:cs="仿宋"/>
                <w:i w:val="0"/>
                <w:color w:val="000000"/>
                <w:kern w:val="0"/>
                <w:sz w:val="20"/>
                <w:szCs w:val="20"/>
                <w:u w:val="none"/>
                <w:lang w:val="en-US" w:eastAsia="zh-CN" w:bidi="ar"/>
              </w:rPr>
              <w:t>3000元/人</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24"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3231"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kern w:val="0"/>
                <w:sz w:val="20"/>
                <w:szCs w:val="20"/>
              </w:rPr>
            </w:pPr>
            <w:r>
              <w:rPr>
                <w:rFonts w:hint="eastAsia" w:ascii="仿宋" w:hAnsi="仿宋" w:eastAsia="仿宋" w:cs="仿宋"/>
                <w:i w:val="0"/>
                <w:color w:val="000000"/>
                <w:kern w:val="0"/>
                <w:sz w:val="20"/>
                <w:szCs w:val="20"/>
                <w:u w:val="none"/>
                <w:lang w:val="en-US" w:eastAsia="zh-CN" w:bidi="ar"/>
              </w:rPr>
              <w:t>稳定就业时间满10个月，奖励标准</w:t>
            </w:r>
          </w:p>
        </w:tc>
        <w:tc>
          <w:tcPr>
            <w:tcW w:w="138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kern w:val="0"/>
                <w:sz w:val="20"/>
                <w:szCs w:val="20"/>
              </w:rPr>
            </w:pPr>
            <w:r>
              <w:rPr>
                <w:rFonts w:hint="eastAsia" w:ascii="仿宋" w:hAnsi="仿宋" w:eastAsia="仿宋" w:cs="仿宋"/>
                <w:i w:val="0"/>
                <w:color w:val="000000"/>
                <w:kern w:val="0"/>
                <w:sz w:val="20"/>
                <w:szCs w:val="20"/>
                <w:u w:val="none"/>
                <w:lang w:val="en-US" w:eastAsia="zh-CN" w:bidi="ar"/>
              </w:rPr>
              <w:t>2800元/人</w:t>
            </w:r>
          </w:p>
        </w:tc>
        <w:tc>
          <w:tcPr>
            <w:tcW w:w="152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kern w:val="0"/>
                <w:sz w:val="20"/>
                <w:szCs w:val="20"/>
              </w:rPr>
            </w:pPr>
            <w:r>
              <w:rPr>
                <w:rFonts w:hint="eastAsia" w:ascii="仿宋" w:hAnsi="仿宋" w:eastAsia="仿宋" w:cs="仿宋"/>
                <w:i w:val="0"/>
                <w:color w:val="000000"/>
                <w:kern w:val="0"/>
                <w:sz w:val="20"/>
                <w:szCs w:val="20"/>
                <w:u w:val="none"/>
                <w:lang w:val="en-US" w:eastAsia="zh-CN" w:bidi="ar"/>
              </w:rPr>
              <w:t>2800元/人</w:t>
            </w:r>
          </w:p>
        </w:tc>
      </w:tr>
      <w:tr>
        <w:tblPrEx>
          <w:tblCellMar>
            <w:top w:w="0" w:type="dxa"/>
            <w:left w:w="108" w:type="dxa"/>
            <w:bottom w:w="0" w:type="dxa"/>
            <w:right w:w="108" w:type="dxa"/>
          </w:tblCellMar>
        </w:tblPrEx>
        <w:trPr>
          <w:trHeight w:val="24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24" w:type="dxa"/>
            <w:vMerge w:val="continue"/>
            <w:tcBorders>
              <w:left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p>
        </w:tc>
        <w:tc>
          <w:tcPr>
            <w:tcW w:w="323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kern w:val="0"/>
                <w:sz w:val="20"/>
                <w:szCs w:val="20"/>
              </w:rPr>
            </w:pPr>
            <w:r>
              <w:rPr>
                <w:rFonts w:hint="eastAsia" w:ascii="仿宋" w:hAnsi="仿宋" w:eastAsia="仿宋" w:cs="仿宋"/>
                <w:i w:val="0"/>
                <w:color w:val="000000"/>
                <w:kern w:val="0"/>
                <w:sz w:val="20"/>
                <w:szCs w:val="20"/>
                <w:u w:val="none"/>
                <w:lang w:val="en-US" w:eastAsia="zh-CN" w:bidi="ar"/>
              </w:rPr>
              <w:t>稳定就业时间满7个月，奖励标准</w:t>
            </w:r>
          </w:p>
        </w:tc>
        <w:tc>
          <w:tcPr>
            <w:tcW w:w="13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kern w:val="0"/>
                <w:sz w:val="20"/>
                <w:szCs w:val="20"/>
              </w:rPr>
            </w:pPr>
            <w:r>
              <w:rPr>
                <w:rFonts w:hint="eastAsia" w:ascii="仿宋" w:hAnsi="仿宋" w:eastAsia="仿宋" w:cs="仿宋"/>
                <w:i w:val="0"/>
                <w:color w:val="000000"/>
                <w:kern w:val="0"/>
                <w:sz w:val="20"/>
                <w:szCs w:val="20"/>
                <w:u w:val="none"/>
                <w:lang w:val="en-US" w:eastAsia="zh-CN" w:bidi="ar"/>
              </w:rPr>
              <w:t>2200元/人</w:t>
            </w:r>
          </w:p>
        </w:tc>
        <w:tc>
          <w:tcPr>
            <w:tcW w:w="152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kern w:val="0"/>
                <w:sz w:val="20"/>
                <w:szCs w:val="20"/>
              </w:rPr>
            </w:pPr>
            <w:r>
              <w:rPr>
                <w:rFonts w:hint="eastAsia" w:ascii="仿宋" w:hAnsi="仿宋" w:eastAsia="仿宋" w:cs="仿宋"/>
                <w:i w:val="0"/>
                <w:color w:val="000000"/>
                <w:kern w:val="0"/>
                <w:sz w:val="20"/>
                <w:szCs w:val="20"/>
                <w:u w:val="none"/>
                <w:lang w:val="en-US" w:eastAsia="zh-CN" w:bidi="ar"/>
              </w:rPr>
              <w:t>2200元/人</w:t>
            </w:r>
          </w:p>
        </w:tc>
      </w:tr>
      <w:tr>
        <w:tblPrEx>
          <w:tblCellMar>
            <w:top w:w="0" w:type="dxa"/>
            <w:left w:w="108" w:type="dxa"/>
            <w:bottom w:w="0" w:type="dxa"/>
            <w:right w:w="108" w:type="dxa"/>
          </w:tblCellMar>
        </w:tblPrEx>
        <w:trPr>
          <w:trHeight w:val="240" w:hRule="atLeast"/>
        </w:trPr>
        <w:tc>
          <w:tcPr>
            <w:tcW w:w="720" w:type="dxa"/>
            <w:vMerge w:val="continue"/>
            <w:tcBorders>
              <w:left w:val="single" w:color="auto" w:sz="4" w:space="0"/>
              <w:bottom w:val="single" w:color="000000" w:sz="4" w:space="0"/>
              <w:right w:val="single" w:color="auto" w:sz="4" w:space="0"/>
            </w:tcBorders>
            <w:vAlign w:val="center"/>
          </w:tcPr>
          <w:p>
            <w:pPr>
              <w:widowControl/>
              <w:jc w:val="center"/>
            </w:pPr>
          </w:p>
        </w:tc>
        <w:tc>
          <w:tcPr>
            <w:tcW w:w="1140" w:type="dxa"/>
            <w:vMerge w:val="continue"/>
            <w:tcBorders>
              <w:left w:val="single" w:color="auto" w:sz="4" w:space="0"/>
              <w:bottom w:val="single" w:color="auto" w:sz="4" w:space="0"/>
              <w:right w:val="single" w:color="auto" w:sz="4" w:space="0"/>
            </w:tcBorders>
            <w:vAlign w:val="center"/>
          </w:tcPr>
          <w:p>
            <w:pPr>
              <w:widowControl/>
              <w:jc w:val="center"/>
            </w:pPr>
          </w:p>
        </w:tc>
        <w:tc>
          <w:tcPr>
            <w:tcW w:w="1024" w:type="dxa"/>
            <w:vMerge w:val="continue"/>
            <w:tcBorders>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p>
        </w:tc>
        <w:tc>
          <w:tcPr>
            <w:tcW w:w="323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kern w:val="0"/>
                <w:sz w:val="20"/>
                <w:szCs w:val="20"/>
              </w:rPr>
            </w:pPr>
            <w:r>
              <w:rPr>
                <w:rFonts w:hint="eastAsia" w:ascii="仿宋" w:hAnsi="仿宋" w:eastAsia="仿宋" w:cs="仿宋"/>
                <w:i w:val="0"/>
                <w:color w:val="000000"/>
                <w:kern w:val="0"/>
                <w:sz w:val="20"/>
                <w:szCs w:val="20"/>
                <w:u w:val="none"/>
                <w:lang w:val="en-US" w:eastAsia="zh-CN" w:bidi="ar"/>
              </w:rPr>
              <w:t>稳定就业时间满6个月，奖励标准</w:t>
            </w:r>
          </w:p>
        </w:tc>
        <w:tc>
          <w:tcPr>
            <w:tcW w:w="13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kern w:val="0"/>
                <w:sz w:val="20"/>
                <w:szCs w:val="20"/>
              </w:rPr>
            </w:pPr>
            <w:r>
              <w:rPr>
                <w:rFonts w:hint="eastAsia" w:ascii="仿宋" w:hAnsi="仿宋" w:eastAsia="仿宋" w:cs="仿宋"/>
                <w:i w:val="0"/>
                <w:color w:val="000000"/>
                <w:kern w:val="0"/>
                <w:sz w:val="20"/>
                <w:szCs w:val="20"/>
                <w:u w:val="none"/>
                <w:lang w:val="en-US" w:eastAsia="zh-CN" w:bidi="ar"/>
              </w:rPr>
              <w:t>2000元/人</w:t>
            </w:r>
          </w:p>
        </w:tc>
        <w:tc>
          <w:tcPr>
            <w:tcW w:w="152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kern w:val="0"/>
                <w:sz w:val="20"/>
                <w:szCs w:val="20"/>
              </w:rPr>
            </w:pPr>
            <w:r>
              <w:rPr>
                <w:rFonts w:hint="eastAsia" w:ascii="仿宋" w:hAnsi="仿宋" w:eastAsia="仿宋" w:cs="仿宋"/>
                <w:i w:val="0"/>
                <w:color w:val="000000"/>
                <w:kern w:val="0"/>
                <w:sz w:val="20"/>
                <w:szCs w:val="20"/>
                <w:u w:val="none"/>
                <w:lang w:val="en-US" w:eastAsia="zh-CN" w:bidi="ar"/>
              </w:rPr>
              <w:t>2000元/人</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024" w:type="dxa"/>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3231"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增加贫困家庭收入</w:t>
            </w:r>
          </w:p>
        </w:tc>
        <w:tc>
          <w:tcPr>
            <w:tcW w:w="1384"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kern w:val="0"/>
                <w:sz w:val="20"/>
                <w:szCs w:val="20"/>
              </w:rPr>
            </w:pPr>
            <w:r>
              <w:rPr>
                <w:rFonts w:hint="eastAsia" w:ascii="仿宋" w:hAnsi="仿宋" w:eastAsia="仿宋" w:cs="仿宋"/>
                <w:i w:val="0"/>
                <w:color w:val="000000"/>
                <w:kern w:val="0"/>
                <w:sz w:val="20"/>
                <w:szCs w:val="20"/>
                <w:u w:val="none"/>
                <w:lang w:val="en-US" w:eastAsia="zh-CN" w:bidi="ar"/>
              </w:rPr>
              <w:t>有效</w:t>
            </w:r>
          </w:p>
        </w:tc>
        <w:tc>
          <w:tcPr>
            <w:tcW w:w="152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kern w:val="0"/>
                <w:sz w:val="20"/>
                <w:szCs w:val="20"/>
              </w:rPr>
            </w:pPr>
            <w:r>
              <w:rPr>
                <w:rFonts w:hint="eastAsia" w:ascii="仿宋" w:hAnsi="仿宋" w:eastAsia="仿宋" w:cs="仿宋"/>
                <w:i w:val="0"/>
                <w:color w:val="000000"/>
                <w:kern w:val="0"/>
                <w:sz w:val="20"/>
                <w:szCs w:val="20"/>
                <w:u w:val="none"/>
                <w:lang w:val="en-US" w:eastAsia="zh-CN" w:bidi="ar"/>
              </w:rPr>
              <w:t>有效</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3231"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贫困群众政策知晓率</w:t>
            </w:r>
          </w:p>
        </w:tc>
        <w:tc>
          <w:tcPr>
            <w:tcW w:w="138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kern w:val="0"/>
                <w:sz w:val="20"/>
                <w:szCs w:val="20"/>
                <w:lang w:eastAsia="zh-CN"/>
              </w:rPr>
            </w:pPr>
            <w:r>
              <w:rPr>
                <w:rFonts w:hint="eastAsia" w:ascii="仿宋" w:hAnsi="仿宋" w:eastAsia="仿宋" w:cs="仿宋"/>
                <w:i w:val="0"/>
                <w:color w:val="000000"/>
                <w:kern w:val="0"/>
                <w:sz w:val="20"/>
                <w:szCs w:val="20"/>
                <w:u w:val="none"/>
                <w:lang w:val="en-US" w:eastAsia="zh-CN" w:bidi="ar"/>
              </w:rPr>
              <w:t>100%</w:t>
            </w:r>
          </w:p>
        </w:tc>
        <w:tc>
          <w:tcPr>
            <w:tcW w:w="152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kern w:val="0"/>
                <w:sz w:val="20"/>
                <w:szCs w:val="20"/>
              </w:rPr>
            </w:pPr>
            <w:r>
              <w:rPr>
                <w:rFonts w:hint="eastAsia" w:ascii="仿宋" w:hAnsi="仿宋" w:eastAsia="仿宋" w:cs="仿宋"/>
                <w:i w:val="0"/>
                <w:color w:val="000000"/>
                <w:kern w:val="0"/>
                <w:sz w:val="20"/>
                <w:szCs w:val="20"/>
                <w:u w:val="none"/>
                <w:lang w:val="en-US" w:eastAsia="zh-CN" w:bidi="ar"/>
              </w:rPr>
              <w:t>100%</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2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323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kern w:val="0"/>
                <w:sz w:val="20"/>
                <w:szCs w:val="20"/>
              </w:rPr>
            </w:pPr>
            <w:r>
              <w:rPr>
                <w:rFonts w:hint="eastAsia" w:ascii="仿宋" w:hAnsi="仿宋" w:eastAsia="仿宋" w:cs="仿宋"/>
                <w:i w:val="0"/>
                <w:color w:val="000000"/>
                <w:kern w:val="0"/>
                <w:sz w:val="20"/>
                <w:szCs w:val="20"/>
                <w:u w:val="none"/>
                <w:lang w:val="en-US" w:eastAsia="zh-CN" w:bidi="ar"/>
              </w:rPr>
              <w:t>形成稳定增收产业贫困户规模</w:t>
            </w:r>
          </w:p>
        </w:tc>
        <w:tc>
          <w:tcPr>
            <w:tcW w:w="13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kern w:val="0"/>
                <w:sz w:val="20"/>
                <w:szCs w:val="20"/>
              </w:rPr>
            </w:pPr>
            <w:r>
              <w:rPr>
                <w:rFonts w:hint="eastAsia" w:ascii="仿宋" w:hAnsi="仿宋" w:eastAsia="仿宋" w:cs="仿宋"/>
                <w:i w:val="0"/>
                <w:color w:val="000000"/>
                <w:kern w:val="0"/>
                <w:sz w:val="20"/>
                <w:szCs w:val="20"/>
                <w:u w:val="none"/>
                <w:lang w:val="en-US" w:eastAsia="zh-CN" w:bidi="ar"/>
              </w:rPr>
              <w:t>7户</w:t>
            </w:r>
          </w:p>
        </w:tc>
        <w:tc>
          <w:tcPr>
            <w:tcW w:w="152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kern w:val="0"/>
                <w:sz w:val="20"/>
                <w:szCs w:val="20"/>
              </w:rPr>
            </w:pPr>
            <w:r>
              <w:rPr>
                <w:rFonts w:hint="eastAsia" w:ascii="仿宋" w:hAnsi="仿宋" w:eastAsia="仿宋" w:cs="仿宋"/>
                <w:i w:val="0"/>
                <w:color w:val="000000"/>
                <w:kern w:val="0"/>
                <w:sz w:val="20"/>
                <w:szCs w:val="20"/>
                <w:u w:val="none"/>
                <w:lang w:val="en-US" w:eastAsia="zh-CN" w:bidi="ar"/>
              </w:rPr>
              <w:t>7户</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323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kern w:val="0"/>
                <w:sz w:val="20"/>
                <w:szCs w:val="20"/>
              </w:rPr>
            </w:pPr>
            <w:r>
              <w:rPr>
                <w:rFonts w:hint="eastAsia" w:ascii="仿宋" w:hAnsi="仿宋" w:eastAsia="仿宋" w:cs="仿宋"/>
                <w:i w:val="0"/>
                <w:color w:val="000000"/>
                <w:kern w:val="0"/>
                <w:sz w:val="20"/>
                <w:szCs w:val="20"/>
                <w:u w:val="none"/>
                <w:lang w:val="en-US" w:eastAsia="zh-CN" w:bidi="ar"/>
              </w:rPr>
              <w:t>激发广大贫困户自力更生，勤劳致富内生动力</w:t>
            </w:r>
          </w:p>
        </w:tc>
        <w:tc>
          <w:tcPr>
            <w:tcW w:w="13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kern w:val="0"/>
                <w:sz w:val="20"/>
                <w:szCs w:val="20"/>
              </w:rPr>
            </w:pPr>
            <w:r>
              <w:rPr>
                <w:rFonts w:hint="eastAsia" w:ascii="仿宋" w:hAnsi="仿宋" w:eastAsia="仿宋" w:cs="仿宋"/>
                <w:i w:val="0"/>
                <w:color w:val="000000"/>
                <w:kern w:val="0"/>
                <w:sz w:val="20"/>
                <w:szCs w:val="20"/>
                <w:u w:val="none"/>
                <w:lang w:val="en-US" w:eastAsia="zh-CN" w:bidi="ar"/>
              </w:rPr>
              <w:t>有效</w:t>
            </w:r>
          </w:p>
        </w:tc>
        <w:tc>
          <w:tcPr>
            <w:tcW w:w="152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kern w:val="0"/>
                <w:sz w:val="20"/>
                <w:szCs w:val="20"/>
              </w:rPr>
            </w:pPr>
            <w:r>
              <w:rPr>
                <w:rFonts w:hint="eastAsia" w:ascii="仿宋" w:hAnsi="仿宋" w:eastAsia="仿宋" w:cs="仿宋"/>
                <w:i w:val="0"/>
                <w:color w:val="000000"/>
                <w:kern w:val="0"/>
                <w:sz w:val="20"/>
                <w:szCs w:val="20"/>
                <w:u w:val="none"/>
                <w:lang w:val="en-US" w:eastAsia="zh-CN" w:bidi="ar"/>
              </w:rPr>
              <w:t>有效</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024" w:type="dxa"/>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3231"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kern w:val="0"/>
                <w:sz w:val="20"/>
                <w:szCs w:val="20"/>
              </w:rPr>
            </w:pPr>
            <w:r>
              <w:rPr>
                <w:rFonts w:hint="eastAsia" w:ascii="仿宋" w:hAnsi="仿宋" w:eastAsia="仿宋" w:cs="仿宋"/>
                <w:i w:val="0"/>
                <w:color w:val="000000"/>
                <w:kern w:val="0"/>
                <w:sz w:val="20"/>
                <w:szCs w:val="20"/>
                <w:u w:val="none"/>
                <w:lang w:val="en-US" w:eastAsia="zh-CN" w:bidi="ar"/>
              </w:rPr>
              <w:t>项目受益户满意度</w:t>
            </w:r>
          </w:p>
        </w:tc>
        <w:tc>
          <w:tcPr>
            <w:tcW w:w="1384"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kern w:val="0"/>
                <w:sz w:val="20"/>
                <w:szCs w:val="20"/>
              </w:rPr>
            </w:pPr>
            <w:r>
              <w:rPr>
                <w:rFonts w:hint="eastAsia" w:ascii="仿宋" w:hAnsi="仿宋" w:eastAsia="仿宋" w:cs="仿宋"/>
                <w:i w:val="0"/>
                <w:color w:val="000000"/>
                <w:kern w:val="0"/>
                <w:sz w:val="20"/>
                <w:szCs w:val="20"/>
                <w:u w:val="none"/>
                <w:lang w:val="en-US" w:eastAsia="zh-CN" w:bidi="ar"/>
              </w:rPr>
              <w:t>≥95％</w:t>
            </w:r>
          </w:p>
        </w:tc>
        <w:tc>
          <w:tcPr>
            <w:tcW w:w="152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kern w:val="0"/>
                <w:sz w:val="20"/>
                <w:szCs w:val="20"/>
              </w:rPr>
            </w:pPr>
            <w:r>
              <w:rPr>
                <w:rFonts w:hint="eastAsia" w:ascii="仿宋" w:hAnsi="仿宋" w:eastAsia="仿宋" w:cs="仿宋"/>
                <w:i w:val="0"/>
                <w:color w:val="000000"/>
                <w:kern w:val="0"/>
                <w:sz w:val="20"/>
                <w:szCs w:val="20"/>
                <w:u w:val="none"/>
                <w:lang w:val="en-US" w:eastAsia="zh-CN" w:bidi="ar"/>
              </w:rPr>
              <w:t>≥95％</w:t>
            </w:r>
          </w:p>
        </w:tc>
      </w:tr>
    </w:tbl>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ascii="仿宋" w:hAnsi="仿宋" w:eastAsia="仿宋"/>
          <w:b w:val="0"/>
          <w:spacing w:val="-4"/>
          <w:sz w:val="32"/>
          <w:szCs w:val="32"/>
        </w:rPr>
      </w:pPr>
    </w:p>
    <w:sectPr>
      <w:footerReference r:id="rId3" w:type="default"/>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E6A22"/>
    <w:multiLevelType w:val="singleLevel"/>
    <w:tmpl w:val="02EE6A22"/>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21AE4"/>
    <w:rsid w:val="00146AAD"/>
    <w:rsid w:val="001B3A40"/>
    <w:rsid w:val="0021482D"/>
    <w:rsid w:val="002574E5"/>
    <w:rsid w:val="003908B7"/>
    <w:rsid w:val="004366A8"/>
    <w:rsid w:val="00502BA7"/>
    <w:rsid w:val="005162F1"/>
    <w:rsid w:val="00535153"/>
    <w:rsid w:val="00554F82"/>
    <w:rsid w:val="0056390D"/>
    <w:rsid w:val="005719B0"/>
    <w:rsid w:val="005D10D6"/>
    <w:rsid w:val="00692944"/>
    <w:rsid w:val="006E6BB4"/>
    <w:rsid w:val="00855E3A"/>
    <w:rsid w:val="00922CB9"/>
    <w:rsid w:val="009838B7"/>
    <w:rsid w:val="009B0A0F"/>
    <w:rsid w:val="009E5CD9"/>
    <w:rsid w:val="00A26421"/>
    <w:rsid w:val="00A4293B"/>
    <w:rsid w:val="00A67D50"/>
    <w:rsid w:val="00A8691A"/>
    <w:rsid w:val="00AC1946"/>
    <w:rsid w:val="00AF30EA"/>
    <w:rsid w:val="00B40063"/>
    <w:rsid w:val="00B41F61"/>
    <w:rsid w:val="00BA46E6"/>
    <w:rsid w:val="00C56C72"/>
    <w:rsid w:val="00CA6457"/>
    <w:rsid w:val="00CC201C"/>
    <w:rsid w:val="00D17F2E"/>
    <w:rsid w:val="00D25540"/>
    <w:rsid w:val="00D30354"/>
    <w:rsid w:val="00DF42A0"/>
    <w:rsid w:val="00E2323E"/>
    <w:rsid w:val="00E769FE"/>
    <w:rsid w:val="00EA2CBE"/>
    <w:rsid w:val="00F32FEE"/>
    <w:rsid w:val="00FB10BB"/>
    <w:rsid w:val="0D4252EE"/>
    <w:rsid w:val="0E024ECD"/>
    <w:rsid w:val="18E776F7"/>
    <w:rsid w:val="28B71FAE"/>
    <w:rsid w:val="3F0F2990"/>
    <w:rsid w:val="40774048"/>
    <w:rsid w:val="57E44C7C"/>
    <w:rsid w:val="5C346840"/>
    <w:rsid w:val="651F408B"/>
    <w:rsid w:val="67762DD6"/>
    <w:rsid w:val="7F836D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Intense Emphasis"/>
    <w:basedOn w:val="17"/>
    <w:qFormat/>
    <w:uiPriority w:val="21"/>
    <w:rPr>
      <w:b/>
      <w:i/>
      <w:sz w:val="24"/>
      <w:szCs w:val="24"/>
      <w:u w:val="single"/>
    </w:rPr>
  </w:style>
  <w:style w:type="character" w:customStyle="1" w:styleId="39">
    <w:name w:val="Subtle Reference"/>
    <w:basedOn w:val="17"/>
    <w:qFormat/>
    <w:uiPriority w:val="31"/>
    <w:rPr>
      <w:sz w:val="24"/>
      <w:szCs w:val="24"/>
      <w:u w:val="single"/>
    </w:rPr>
  </w:style>
  <w:style w:type="character" w:customStyle="1" w:styleId="40">
    <w:name w:val="Intense Reference"/>
    <w:basedOn w:val="17"/>
    <w:qFormat/>
    <w:uiPriority w:val="32"/>
    <w:rPr>
      <w:b/>
      <w:sz w:val="24"/>
      <w:u w:val="single"/>
    </w:rPr>
  </w:style>
  <w:style w:type="character" w:customStyle="1" w:styleId="41">
    <w:name w:val="Book Title"/>
    <w:basedOn w:val="17"/>
    <w:qFormat/>
    <w:uiPriority w:val="33"/>
    <w:rPr>
      <w:rFonts w:asciiTheme="majorHAnsi" w:hAnsiTheme="majorHAnsi" w:eastAsiaTheme="majorEastAsia"/>
      <w:b/>
      <w:i/>
      <w:sz w:val="24"/>
      <w:szCs w:val="24"/>
    </w:rPr>
  </w:style>
  <w:style w:type="paragraph" w:customStyle="1" w:styleId="42">
    <w:name w:val="TOC Heading"/>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198</Words>
  <Characters>1133</Characters>
  <Lines>9</Lines>
  <Paragraphs>2</Paragraphs>
  <TotalTime>2</TotalTime>
  <ScaleCrop>false</ScaleCrop>
  <LinksUpToDate>false</LinksUpToDate>
  <CharactersWithSpaces>1329</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Nikki1380446579</cp:lastModifiedBy>
  <cp:lastPrinted>2019-10-21T11:36:00Z</cp:lastPrinted>
  <dcterms:modified xsi:type="dcterms:W3CDTF">2019-11-07T08:52:22Z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