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r>
        <w:rPr>
          <w:rFonts w:hint="eastAsia" w:ascii="方正小标宋简体" w:eastAsia="方正小标宋简体"/>
          <w:sz w:val="52"/>
          <w:szCs w:val="56"/>
        </w:rPr>
        <w:t>若羌县铁干里克镇人民政府财政项目支出绩效自评报告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（201</w:t>
      </w:r>
      <w:r>
        <w:rPr>
          <w:rFonts w:hint="eastAsia" w:ascii="仿宋_GB2312" w:eastAsia="仿宋_GB2312"/>
          <w:sz w:val="48"/>
          <w:szCs w:val="52"/>
          <w:lang w:val="en-US" w:eastAsia="zh-CN"/>
        </w:rPr>
        <w:t>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项目名称：铁干里克镇</w:t>
      </w:r>
      <w:r>
        <w:rPr>
          <w:rFonts w:hint="eastAsia" w:ascii="仿宋_GB2312" w:eastAsia="仿宋_GB2312"/>
          <w:sz w:val="32"/>
          <w:szCs w:val="32"/>
          <w:lang w:eastAsia="zh-CN"/>
        </w:rPr>
        <w:t>托格拉克勒克村基本农田建设项目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实施单位（公章）：铁干里克镇人民政府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项目负责人（签章）：肉孜·尕依提</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填报时间：201</w:t>
      </w:r>
      <w:r>
        <w:rPr>
          <w:rFonts w:hint="eastAsia" w:ascii="仿宋_GB2312" w:eastAsia="仿宋_GB2312"/>
          <w:sz w:val="32"/>
          <w:szCs w:val="32"/>
          <w:lang w:val="en-US" w:eastAsia="zh-CN"/>
        </w:rPr>
        <w:t>9</w:t>
      </w:r>
      <w:r>
        <w:rPr>
          <w:rFonts w:hint="eastAsia" w:ascii="仿宋_GB2312" w:eastAsia="仿宋_GB2312"/>
          <w:sz w:val="32"/>
          <w:szCs w:val="32"/>
        </w:rPr>
        <w:t>年1</w:t>
      </w:r>
      <w:r>
        <w:rPr>
          <w:rFonts w:hint="eastAsia" w:ascii="仿宋_GB2312" w:eastAsia="仿宋_GB2312"/>
          <w:sz w:val="32"/>
          <w:szCs w:val="32"/>
          <w:lang w:val="en-US" w:eastAsia="zh-CN"/>
        </w:rPr>
        <w:t>0</w:t>
      </w:r>
      <w:r>
        <w:rPr>
          <w:rFonts w:hint="eastAsia" w:ascii="仿宋_GB2312" w:eastAsia="仿宋_GB2312"/>
          <w:sz w:val="32"/>
          <w:szCs w:val="32"/>
        </w:rPr>
        <w:t>月2</w:t>
      </w:r>
      <w:r>
        <w:rPr>
          <w:rFonts w:hint="eastAsia" w:ascii="仿宋_GB2312" w:eastAsia="仿宋_GB2312"/>
          <w:sz w:val="32"/>
          <w:szCs w:val="32"/>
          <w:lang w:val="en-US" w:eastAsia="zh-CN"/>
        </w:rPr>
        <w:t>1</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单位职能：宣传执行党的基本路线，认真贯彻落实党的方针、政策和上级党组织的决议、指示。对铁干里克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spacing w:line="560" w:lineRule="exact"/>
        <w:ind w:left="0" w:leftChars="0" w:right="0" w:rightChars="0" w:firstLine="640" w:firstLineChars="200"/>
        <w:jc w:val="both"/>
        <w:textAlignment w:val="auto"/>
        <w:outlineLvl w:val="9"/>
        <w:rPr>
          <w:rFonts w:hint="default" w:ascii="黑体" w:hAnsi="黑体" w:eastAsia="仿宋_GB2312"/>
          <w:b/>
          <w:bCs/>
          <w:color w:val="auto"/>
          <w:sz w:val="32"/>
          <w:lang w:val="en-US" w:eastAsia="zh-CN"/>
        </w:rPr>
      </w:pPr>
      <w:r>
        <w:rPr>
          <w:rFonts w:hint="eastAsia" w:ascii="仿宋_GB2312" w:eastAsia="仿宋_GB2312"/>
          <w:sz w:val="32"/>
          <w:szCs w:val="32"/>
        </w:rPr>
        <w:t>1.主要建设内容：项目总投资</w:t>
      </w:r>
      <w:r>
        <w:rPr>
          <w:rFonts w:hint="eastAsia" w:ascii="仿宋_GB2312" w:eastAsia="仿宋_GB2312"/>
          <w:sz w:val="32"/>
          <w:szCs w:val="32"/>
          <w:lang w:val="en-US" w:eastAsia="zh-CN"/>
        </w:rPr>
        <w:t>20</w:t>
      </w:r>
      <w:r>
        <w:rPr>
          <w:rFonts w:hint="eastAsia" w:ascii="仿宋_GB2312" w:eastAsia="仿宋_GB2312"/>
          <w:sz w:val="32"/>
          <w:szCs w:val="32"/>
        </w:rPr>
        <w:t>万元，</w:t>
      </w:r>
      <w:r>
        <w:rPr>
          <w:rFonts w:hint="eastAsia" w:ascii="仿宋_GB2312" w:eastAsia="仿宋_GB2312"/>
          <w:sz w:val="32"/>
          <w:szCs w:val="32"/>
          <w:lang w:eastAsia="zh-CN"/>
        </w:rPr>
        <w:t>投入扶贫资金</w:t>
      </w:r>
      <w:r>
        <w:rPr>
          <w:rFonts w:hint="eastAsia" w:ascii="仿宋_GB2312" w:eastAsia="仿宋_GB2312"/>
          <w:sz w:val="32"/>
          <w:szCs w:val="32"/>
          <w:lang w:val="en-US" w:eastAsia="zh-CN"/>
        </w:rPr>
        <w:t>20万元，修建托格拉克勒克村支渠道，50U型防渗渠（渠深0.5m，口宽0.64m，壁厚3.5cm）1.5公里，每米120元（含人工、运输等费用），共计20万元。惠及本村有耕地的贫困户6户59.2亩地，同时还包括其他农户15户，合计162.2亩，解决贫困户灌溉难的问题使有地的贫困户达到节水、节肥、增效的目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2.主要目标任务：通过项目实施，可以有效地加快</w:t>
      </w:r>
      <w:r>
        <w:rPr>
          <w:rFonts w:hint="eastAsia" w:ascii="仿宋_GB2312" w:eastAsia="仿宋_GB2312"/>
          <w:sz w:val="32"/>
          <w:szCs w:val="32"/>
          <w:lang w:eastAsia="zh-CN"/>
        </w:rPr>
        <w:t>托格拉克勒克村</w:t>
      </w:r>
      <w:r>
        <w:rPr>
          <w:rFonts w:hint="eastAsia" w:ascii="仿宋_GB2312" w:eastAsia="仿宋_GB2312"/>
          <w:sz w:val="32"/>
          <w:szCs w:val="32"/>
        </w:rPr>
        <w:t>发展步伐，提高</w:t>
      </w:r>
      <w:r>
        <w:rPr>
          <w:rFonts w:hint="eastAsia" w:ascii="仿宋_GB2312" w:eastAsia="仿宋_GB2312"/>
          <w:sz w:val="32"/>
          <w:szCs w:val="32"/>
          <w:lang w:eastAsia="zh-CN"/>
        </w:rPr>
        <w:t>贫困户增收</w:t>
      </w:r>
      <w:r>
        <w:rPr>
          <w:rFonts w:hint="eastAsia" w:ascii="仿宋_GB2312" w:eastAsia="仿宋_GB2312"/>
          <w:sz w:val="32"/>
          <w:szCs w:val="32"/>
        </w:rPr>
        <w:t>，</w:t>
      </w:r>
      <w:r>
        <w:rPr>
          <w:rFonts w:hint="eastAsia" w:ascii="仿宋_GB2312" w:eastAsia="仿宋_GB2312"/>
          <w:sz w:val="32"/>
          <w:szCs w:val="32"/>
          <w:lang w:val="en-US" w:eastAsia="zh-CN"/>
        </w:rPr>
        <w:t>预计每年每户节约开支水费500元。</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20</w:t>
      </w:r>
      <w:r>
        <w:rPr>
          <w:rFonts w:hint="eastAsia" w:ascii="仿宋_GB2312" w:eastAsia="仿宋_GB2312"/>
          <w:sz w:val="32"/>
          <w:szCs w:val="32"/>
        </w:rPr>
        <w:t>万元，来源全部为</w:t>
      </w:r>
      <w:r>
        <w:rPr>
          <w:rFonts w:hint="eastAsia" w:ascii="仿宋_GB2312" w:eastAsia="仿宋_GB2312"/>
          <w:sz w:val="32"/>
          <w:szCs w:val="32"/>
          <w:lang w:eastAsia="zh-CN"/>
        </w:rPr>
        <w:t>扶贫发展资金</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严格按照相关财政文件，该拨款全部用于铁干里克镇</w:t>
      </w:r>
      <w:r>
        <w:rPr>
          <w:rFonts w:hint="eastAsia" w:ascii="仿宋_GB2312" w:eastAsia="仿宋_GB2312"/>
          <w:sz w:val="32"/>
          <w:szCs w:val="32"/>
          <w:lang w:eastAsia="zh-CN"/>
        </w:rPr>
        <w:t>亚喀吾斯塘村庭院经济建设项目。</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该项目于</w:t>
      </w: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10</w:t>
      </w:r>
      <w:r>
        <w:rPr>
          <w:rStyle w:val="18"/>
          <w:rFonts w:hint="eastAsia" w:ascii="仿宋_GB2312" w:hAnsi="仿宋" w:eastAsia="仿宋_GB2312"/>
          <w:b w:val="0"/>
          <w:spacing w:val="-4"/>
          <w:sz w:val="32"/>
          <w:szCs w:val="32"/>
        </w:rPr>
        <w:t>月30日前已将</w:t>
      </w:r>
      <w:r>
        <w:rPr>
          <w:rStyle w:val="18"/>
          <w:rFonts w:hint="eastAsia" w:ascii="仿宋_GB2312" w:hAnsi="仿宋" w:eastAsia="仿宋_GB2312"/>
          <w:b w:val="0"/>
          <w:spacing w:val="-4"/>
          <w:sz w:val="32"/>
          <w:szCs w:val="32"/>
          <w:lang w:val="en-US" w:eastAsia="zh-CN"/>
        </w:rPr>
        <w:t>20</w:t>
      </w:r>
      <w:r>
        <w:rPr>
          <w:rStyle w:val="18"/>
          <w:rFonts w:hint="eastAsia" w:ascii="仿宋_GB2312" w:hAnsi="仿宋" w:eastAsia="仿宋_GB2312"/>
          <w:b w:val="0"/>
          <w:spacing w:val="-4"/>
          <w:sz w:val="32"/>
          <w:szCs w:val="32"/>
        </w:rPr>
        <w:t>万元资金使用完毕</w:t>
      </w:r>
      <w:r>
        <w:rPr>
          <w:rStyle w:val="18"/>
          <w:rFonts w:hint="eastAsia" w:ascii="仿宋_GB2312" w:hAnsi="仿宋" w:eastAsia="仿宋_GB2312"/>
          <w:b w:val="0"/>
          <w:spacing w:val="-4"/>
          <w:sz w:val="32"/>
          <w:szCs w:val="32"/>
          <w:lang w:eastAsia="zh-CN"/>
        </w:rPr>
        <w:t>，资金以按照项目计划全部发放到位</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月2</w:t>
      </w:r>
      <w:r>
        <w:rPr>
          <w:rFonts w:hint="eastAsia" w:ascii="仿宋_GB2312" w:eastAsia="仿宋_GB2312"/>
          <w:sz w:val="32"/>
          <w:szCs w:val="32"/>
          <w:lang w:val="en-US" w:eastAsia="zh-CN"/>
        </w:rPr>
        <w:t>0</w:t>
      </w:r>
      <w:r>
        <w:rPr>
          <w:rFonts w:hint="eastAsia" w:ascii="仿宋_GB2312" w:eastAsia="仿宋_GB2312"/>
          <w:sz w:val="32"/>
          <w:szCs w:val="32"/>
          <w:lang w:eastAsia="zh-CN"/>
        </w:rPr>
        <w:t>日，由若羌县扶贫开发领导小组牵头组织水利局等部门组成验收组对该项目进行验收。验收组一行通过查阅资料档案、实地查看工程建设情况一致同意该项目等级为合格，通过验收。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宋体" w:hAnsi="宋体"/>
          <w:color w:val="auto"/>
          <w:kern w:val="0"/>
          <w:sz w:val="32"/>
        </w:rPr>
      </w:pPr>
      <w:r>
        <w:rPr>
          <w:rFonts w:hint="eastAsia" w:ascii="仿宋_GB2312" w:eastAsia="仿宋_GB2312"/>
          <w:b/>
          <w:color w:val="auto"/>
          <w:kern w:val="0"/>
          <w:sz w:val="32"/>
        </w:rPr>
        <w:t>1.建立目标责任制和责任追究制。</w:t>
      </w:r>
      <w:r>
        <w:rPr>
          <w:rFonts w:hint="eastAsia" w:ascii="仿宋_GB2312" w:eastAsia="仿宋_GB2312"/>
          <w:color w:val="auto"/>
          <w:kern w:val="0"/>
          <w:sz w:val="32"/>
        </w:rPr>
        <w:t>成立由</w:t>
      </w:r>
      <w:r>
        <w:rPr>
          <w:rFonts w:hint="eastAsia" w:ascii="仿宋_GB2312" w:eastAsia="仿宋_GB2312"/>
          <w:color w:val="auto"/>
          <w:kern w:val="0"/>
          <w:sz w:val="32"/>
          <w:lang w:eastAsia="zh-CN"/>
        </w:rPr>
        <w:t>镇</w:t>
      </w:r>
      <w:r>
        <w:rPr>
          <w:rFonts w:hint="eastAsia" w:ascii="仿宋_GB2312" w:eastAsia="仿宋_GB2312"/>
          <w:color w:val="auto"/>
          <w:kern w:val="0"/>
          <w:sz w:val="32"/>
        </w:rPr>
        <w:t>党委书记</w:t>
      </w:r>
      <w:r>
        <w:rPr>
          <w:rFonts w:hint="eastAsia" w:ascii="仿宋_GB2312" w:eastAsia="仿宋_GB2312"/>
          <w:color w:val="auto"/>
          <w:kern w:val="0"/>
          <w:sz w:val="32"/>
          <w:lang w:eastAsia="zh-CN"/>
        </w:rPr>
        <w:t>、</w:t>
      </w:r>
      <w:r>
        <w:rPr>
          <w:rFonts w:hint="eastAsia" w:ascii="仿宋_GB2312" w:eastAsia="仿宋_GB2312"/>
          <w:color w:val="auto"/>
          <w:kern w:val="0"/>
          <w:sz w:val="32"/>
        </w:rPr>
        <w:t>党委副书记、</w:t>
      </w:r>
      <w:r>
        <w:rPr>
          <w:rFonts w:hint="eastAsia" w:ascii="仿宋_GB2312" w:eastAsia="仿宋_GB2312"/>
          <w:color w:val="auto"/>
          <w:kern w:val="0"/>
          <w:sz w:val="32"/>
          <w:lang w:eastAsia="zh-CN"/>
        </w:rPr>
        <w:t>镇</w:t>
      </w:r>
      <w:r>
        <w:rPr>
          <w:rFonts w:hint="eastAsia" w:ascii="仿宋_GB2312" w:eastAsia="仿宋_GB2312"/>
          <w:color w:val="auto"/>
          <w:kern w:val="0"/>
          <w:sz w:val="32"/>
        </w:rPr>
        <w:t>长任组长，</w:t>
      </w:r>
      <w:r>
        <w:rPr>
          <w:rFonts w:hint="eastAsia" w:ascii="仿宋_GB2312" w:eastAsia="仿宋_GB2312"/>
          <w:color w:val="auto"/>
          <w:kern w:val="0"/>
          <w:sz w:val="32"/>
          <w:lang w:eastAsia="zh-CN"/>
        </w:rPr>
        <w:t>镇</w:t>
      </w:r>
      <w:r>
        <w:rPr>
          <w:rFonts w:hint="eastAsia" w:ascii="仿宋_GB2312" w:eastAsia="仿宋_GB2312"/>
          <w:color w:val="auto"/>
          <w:kern w:val="0"/>
          <w:sz w:val="32"/>
        </w:rPr>
        <w:t>纪委书记、村委会书记</w:t>
      </w:r>
      <w:r>
        <w:rPr>
          <w:rFonts w:hint="eastAsia" w:ascii="仿宋_GB2312" w:eastAsia="仿宋_GB2312"/>
          <w:color w:val="auto"/>
          <w:kern w:val="0"/>
          <w:sz w:val="32"/>
          <w:lang w:eastAsia="zh-CN"/>
        </w:rPr>
        <w:t>和</w:t>
      </w:r>
      <w:r>
        <w:rPr>
          <w:rFonts w:hint="eastAsia" w:ascii="仿宋_GB2312" w:eastAsia="仿宋_GB2312"/>
          <w:color w:val="auto"/>
          <w:kern w:val="0"/>
          <w:sz w:val="32"/>
        </w:rPr>
        <w:t>主任、驻村工作队队长、</w:t>
      </w:r>
      <w:r>
        <w:rPr>
          <w:rFonts w:hint="eastAsia" w:ascii="仿宋_GB2312" w:eastAsia="仿宋_GB2312"/>
          <w:color w:val="auto"/>
          <w:kern w:val="0"/>
          <w:sz w:val="32"/>
          <w:lang w:eastAsia="zh-CN"/>
        </w:rPr>
        <w:t>镇</w:t>
      </w:r>
      <w:r>
        <w:rPr>
          <w:rFonts w:hint="eastAsia" w:ascii="仿宋_GB2312" w:eastAsia="仿宋_GB2312"/>
          <w:color w:val="auto"/>
          <w:kern w:val="0"/>
          <w:sz w:val="32"/>
        </w:rPr>
        <w:t>财政负责人为成员的项目实施领导小组。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textAlignment w:val="auto"/>
        <w:rPr>
          <w:rFonts w:hint="eastAsia" w:ascii="仿宋_GB2312" w:eastAsia="仿宋_GB2312"/>
          <w:color w:val="auto"/>
          <w:kern w:val="0"/>
          <w:sz w:val="32"/>
        </w:rPr>
      </w:pPr>
      <w:r>
        <w:rPr>
          <w:rFonts w:hint="eastAsia" w:ascii="仿宋_GB2312" w:eastAsia="仿宋_GB2312"/>
          <w:b/>
          <w:color w:val="auto"/>
          <w:kern w:val="0"/>
          <w:sz w:val="32"/>
        </w:rPr>
        <w:t>2、严格执行县级报账制度。</w:t>
      </w:r>
      <w:r>
        <w:rPr>
          <w:rFonts w:hint="eastAsia" w:ascii="仿宋_GB2312" w:eastAsia="仿宋_GB2312"/>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8"/>
          <w:rFonts w:ascii="仿宋" w:hAnsi="仿宋" w:eastAsia="仿宋"/>
          <w:b w:val="0"/>
          <w:spacing w:val="-4"/>
          <w:sz w:val="32"/>
          <w:szCs w:val="32"/>
        </w:rPr>
      </w:pPr>
      <w:r>
        <w:rPr>
          <w:rFonts w:hint="eastAsia" w:ascii="仿宋_GB2312" w:eastAsia="仿宋_GB2312"/>
          <w:b/>
          <w:color w:val="auto"/>
          <w:kern w:val="0"/>
          <w:sz w:val="32"/>
          <w:lang w:val="en-US" w:eastAsia="zh-CN"/>
        </w:rPr>
        <w:t>3</w:t>
      </w:r>
      <w:r>
        <w:rPr>
          <w:rFonts w:hint="eastAsia" w:ascii="仿宋_GB2312" w:eastAsia="仿宋_GB2312"/>
          <w:b/>
          <w:color w:val="auto"/>
          <w:kern w:val="0"/>
          <w:sz w:val="32"/>
        </w:rPr>
        <w:t>、严格执行公告公示制度。</w:t>
      </w:r>
      <w:r>
        <w:rPr>
          <w:rFonts w:hint="eastAsia" w:ascii="仿宋_GB2312" w:eastAsia="仿宋_GB2312"/>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0"/>
          <w:sz w:val="32"/>
        </w:rPr>
      </w:pPr>
      <w:r>
        <w:rPr>
          <w:rFonts w:hint="eastAsia" w:ascii="仿宋_GB2312" w:hAnsi="Times New Roman" w:eastAsia="仿宋_GB2312" w:cs="Times New Roman"/>
          <w:color w:val="auto"/>
          <w:kern w:val="0"/>
          <w:sz w:val="32"/>
        </w:rPr>
        <w:t>该项目</w:t>
      </w:r>
      <w:r>
        <w:rPr>
          <w:rFonts w:hint="eastAsia" w:ascii="仿宋_GB2312" w:hAnsi="Times New Roman" w:eastAsia="仿宋_GB2312" w:cs="Times New Roman"/>
          <w:color w:val="auto"/>
          <w:kern w:val="0"/>
          <w:sz w:val="32"/>
          <w:lang w:eastAsia="zh-CN"/>
        </w:rPr>
        <w:t>建设</w:t>
      </w:r>
      <w:r>
        <w:rPr>
          <w:rFonts w:hint="eastAsia" w:ascii="仿宋_GB2312" w:hAnsi="Times New Roman" w:eastAsia="仿宋_GB2312" w:cs="Times New Roman"/>
          <w:color w:val="auto"/>
          <w:kern w:val="0"/>
          <w:sz w:val="32"/>
        </w:rPr>
        <w:t>后，一切正常，达到了预期的效果。</w:t>
      </w:r>
    </w:p>
    <w:p>
      <w:pPr>
        <w:keepNext w:val="0"/>
        <w:keepLines w:val="0"/>
        <w:pageBreakBefore w:val="0"/>
        <w:kinsoku/>
        <w:wordWrap/>
        <w:overflowPunct/>
        <w:topLinePunct w:val="0"/>
        <w:autoSpaceDE/>
        <w:autoSpaceDN/>
        <w:bidi w:val="0"/>
        <w:spacing w:line="560" w:lineRule="exact"/>
        <w:ind w:left="0" w:leftChars="0" w:right="0" w:rightChars="0" w:firstLine="624" w:firstLineChars="200"/>
        <w:jc w:val="both"/>
        <w:textAlignment w:val="auto"/>
        <w:outlineLvl w:val="9"/>
        <w:rPr>
          <w:rFonts w:hint="default" w:ascii="仿宋_GB2312" w:hAnsi="宋体" w:eastAsia="仿宋_GB2312"/>
          <w:sz w:val="32"/>
          <w:lang w:val="en-US" w:eastAsia="zh-CN"/>
        </w:rPr>
      </w:pP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10</w:t>
      </w:r>
      <w:r>
        <w:rPr>
          <w:rStyle w:val="18"/>
          <w:rFonts w:hint="eastAsia" w:ascii="仿宋_GB2312" w:hAnsi="仿宋" w:eastAsia="仿宋_GB2312"/>
          <w:b w:val="0"/>
          <w:spacing w:val="-4"/>
          <w:sz w:val="32"/>
          <w:szCs w:val="32"/>
        </w:rPr>
        <w:t>月30日前已</w:t>
      </w:r>
      <w:r>
        <w:rPr>
          <w:rStyle w:val="18"/>
          <w:rFonts w:hint="eastAsia" w:ascii="仿宋_GB2312" w:hAnsi="仿宋" w:eastAsia="仿宋_GB2312"/>
          <w:b w:val="0"/>
          <w:spacing w:val="-4"/>
          <w:sz w:val="32"/>
          <w:szCs w:val="32"/>
          <w:lang w:eastAsia="zh-CN"/>
        </w:rPr>
        <w:t>按照项目计划</w:t>
      </w:r>
      <w:r>
        <w:rPr>
          <w:rFonts w:hint="eastAsia" w:ascii="仿宋_GB2312" w:hAnsi="仿宋_GB2312" w:eastAsia="仿宋_GB2312" w:cs="仿宋_GB2312"/>
          <w:color w:val="auto"/>
          <w:sz w:val="32"/>
          <w:szCs w:val="32"/>
          <w:lang w:val="en-US" w:eastAsia="zh-CN"/>
        </w:rPr>
        <w:t>对</w:t>
      </w:r>
      <w:r>
        <w:rPr>
          <w:rFonts w:hint="eastAsia" w:ascii="仿宋_GB2312" w:eastAsia="仿宋_GB2312"/>
          <w:sz w:val="32"/>
          <w:szCs w:val="32"/>
          <w:lang w:eastAsia="zh-CN"/>
        </w:rPr>
        <w:t>投入投入扶贫资金</w:t>
      </w:r>
      <w:r>
        <w:rPr>
          <w:rFonts w:hint="eastAsia" w:ascii="仿宋_GB2312" w:eastAsia="仿宋_GB2312"/>
          <w:sz w:val="32"/>
          <w:szCs w:val="32"/>
          <w:lang w:val="en-US" w:eastAsia="zh-CN"/>
        </w:rPr>
        <w:t>20万元，修建托格拉克勒克村支渠道，50U型防渗渠（渠深0.5m，口宽0.64m，壁厚3.5cm）1.5公里，每米120元（含人工、运输等费用），共计20万元。惠及本村有耕地的贫困户6户59.2亩地，同时还包括其他农户15户，合计162.2亩，解决贫困户灌溉难的问题使有地的贫困户达到节水、节肥、增效的目的，</w:t>
      </w:r>
      <w:r>
        <w:rPr>
          <w:rFonts w:hint="eastAsia" w:ascii="仿宋_GB2312" w:hAnsi="宋体" w:eastAsia="仿宋_GB2312"/>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left="744"/>
        <w:textAlignment w:val="auto"/>
        <w:rPr>
          <w:rFonts w:ascii="仿宋_GB2312" w:eastAsia="仿宋_GB2312"/>
          <w:sz w:val="36"/>
          <w:szCs w:val="40"/>
        </w:rPr>
      </w:pPr>
      <w:r>
        <w:rPr>
          <w:rFonts w:hint="eastAsia" w:ascii="仿宋_GB2312" w:hAnsi="宋体" w:eastAsia="仿宋_GB2312" w:cs="Times New Roman"/>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b w:val="0"/>
          <w:spacing w:val="-4"/>
          <w:sz w:val="32"/>
          <w:szCs w:val="32"/>
          <w:lang w:eastAsia="zh-CN"/>
        </w:rPr>
      </w:pPr>
      <w:r>
        <w:rPr>
          <w:rStyle w:val="18"/>
          <w:rFonts w:hint="eastAsia" w:ascii="仿宋_GB2312" w:hAnsi="仿宋" w:eastAsia="仿宋_GB2312"/>
          <w:b w:val="0"/>
          <w:spacing w:val="-4"/>
          <w:sz w:val="32"/>
          <w:szCs w:val="32"/>
          <w:lang w:eastAsia="zh-CN"/>
        </w:rPr>
        <w:t>进一步加强项目后期监管工作，建立监管台账，定期走访查看贫困户种植农产品</w:t>
      </w:r>
      <w:bookmarkStart w:id="0" w:name="_GoBack"/>
      <w:bookmarkEnd w:id="0"/>
      <w:r>
        <w:rPr>
          <w:rStyle w:val="18"/>
          <w:rFonts w:hint="eastAsia" w:ascii="仿宋_GB2312" w:hAnsi="仿宋" w:eastAsia="仿宋_GB2312"/>
          <w:b w:val="0"/>
          <w:spacing w:val="-4"/>
          <w:sz w:val="32"/>
          <w:szCs w:val="32"/>
          <w:lang w:eastAsia="zh-CN"/>
        </w:rPr>
        <w:t>情况</w:t>
      </w:r>
      <w:r>
        <w:rPr>
          <w:rFonts w:hint="eastAsia" w:ascii="仿宋_GB2312" w:hAnsi="宋体" w:eastAsia="仿宋_GB2312"/>
          <w:sz w:val="32"/>
          <w:lang w:eastAsia="zh-CN"/>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二是各参建单位通力协作，施工单位发现问题，及时</w:t>
      </w:r>
      <w:r>
        <w:rPr>
          <w:rFonts w:hint="eastAsia" w:ascii="仿宋_GB2312" w:eastAsia="仿宋_GB2312"/>
          <w:sz w:val="36"/>
          <w:szCs w:val="40"/>
        </w:rPr>
        <w:t>上报监</w:t>
      </w:r>
      <w:r>
        <w:rPr>
          <w:rStyle w:val="18"/>
          <w:rFonts w:hint="eastAsia" w:ascii="仿宋_GB2312" w:hAnsi="仿宋" w:eastAsia="仿宋_GB2312" w:cs="Times New Roman"/>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四是严格控制工程建设质量，建立健全工程质量检查体系。工程质量控制由施工单位自检、监理单位复检、质量监督单位抽检以及设计单位、建设部门层层把关，确保工程质量达到设计标准。</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ascii="仿宋_GB2312" w:eastAsia="仿宋_GB2312"/>
          <w:b/>
          <w:bCs/>
          <w:sz w:val="36"/>
          <w:szCs w:val="40"/>
        </w:rPr>
      </w:pPr>
      <w:r>
        <w:rPr>
          <w:rStyle w:val="18"/>
          <w:rFonts w:hint="eastAsia" w:ascii="仿宋_GB2312" w:hAnsi="仿宋" w:eastAsia="仿宋_GB2312" w:cs="Times New Roman"/>
          <w:b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1.</w:t>
      </w:r>
      <w:r>
        <w:rPr>
          <w:rStyle w:val="18"/>
          <w:rFonts w:hint="eastAsia" w:ascii="仿宋_GB2312" w:hAnsi="仿宋" w:eastAsia="仿宋_GB2312" w:cs="Times New Roman"/>
          <w:b/>
          <w:bCs w:val="0"/>
          <w:spacing w:val="-4"/>
          <w:sz w:val="32"/>
          <w:szCs w:val="32"/>
          <w:lang w:eastAsia="zh-CN"/>
        </w:rPr>
        <w:t>对项目法人的建</w:t>
      </w:r>
      <w:r>
        <w:rPr>
          <w:rStyle w:val="18"/>
          <w:rFonts w:hint="eastAsia" w:ascii="仿宋_GB2312" w:hAnsi="仿宋" w:eastAsia="仿宋_GB2312" w:cs="Times New Roman"/>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本项目法人为铁干里克镇人民政府，负责项目的施工管理、竣工验收等工作。竣工验收后项目法人应当及时向运行管理单位移交工程，确保工程管理运行正常。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2.</w:t>
      </w:r>
      <w:r>
        <w:rPr>
          <w:rStyle w:val="18"/>
          <w:rFonts w:hint="eastAsia" w:ascii="仿宋_GB2312" w:hAnsi="仿宋" w:eastAsia="仿宋_GB2312" w:cs="Times New Roman"/>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运行管理单位应按照工程运行中的重要内容环节如：用水管理和绩效评价等工作，加强提高工程管理水平、节约用水，保证安全运行，充分发挥工程效益。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textAlignment w:val="auto"/>
        <w:rPr>
          <w:rFonts w:hint="eastAsia" w:ascii="楷体" w:hAnsi="楷体" w:eastAsia="楷体"/>
          <w:b/>
          <w:spacing w:val="-4"/>
          <w:sz w:val="32"/>
          <w:szCs w:val="32"/>
        </w:rPr>
      </w:pPr>
      <w:r>
        <w:rPr>
          <w:rFonts w:hint="eastAsia" w:ascii="楷体" w:hAnsi="楷体" w:eastAsia="楷体"/>
          <w:b/>
          <w:spacing w:val="-4"/>
          <w:sz w:val="32"/>
          <w:szCs w:val="32"/>
        </w:rPr>
        <w:t>其他</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若羌县铁干里克镇</w:t>
      </w:r>
      <w:r>
        <w:rPr>
          <w:rStyle w:val="18"/>
          <w:rFonts w:hint="eastAsia" w:ascii="仿宋" w:hAnsi="仿宋" w:eastAsia="仿宋"/>
          <w:b w:val="0"/>
          <w:spacing w:val="-4"/>
          <w:sz w:val="32"/>
          <w:szCs w:val="32"/>
        </w:rPr>
        <w:t>财政项目支出绩效自评表》</w:t>
      </w: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u w:val="single"/>
                <w:lang w:eastAsia="zh-CN"/>
              </w:rPr>
              <w:t>若羌县铁干里克镇</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eastAsia="zh-CN"/>
              </w:rPr>
              <w:t>若羌县铁干里克镇托格拉克勒克村基本农田建设项目</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rPr>
              <w:t>若羌县</w:t>
            </w:r>
            <w:r>
              <w:rPr>
                <w:rFonts w:hint="eastAsia" w:ascii="宋体" w:hAnsi="宋体" w:cs="宋体" w:eastAsiaTheme="minorEastAsia"/>
                <w:kern w:val="0"/>
                <w:sz w:val="20"/>
                <w:szCs w:val="20"/>
                <w:lang w:eastAsia="zh-CN"/>
              </w:rPr>
              <w:t>铁干里克镇转</w:t>
            </w:r>
            <w:r>
              <w:rPr>
                <w:rFonts w:hint="eastAsia" w:ascii="宋体" w:hAnsi="宋体" w:cs="宋体" w:eastAsiaTheme="minorEastAsia"/>
                <w:kern w:val="0"/>
                <w:sz w:val="20"/>
                <w:szCs w:val="20"/>
              </w:rPr>
              <w:t>人民政府</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20</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20</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20</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rPr>
            </w:pPr>
            <w:r>
              <w:rPr>
                <w:rFonts w:hint="default" w:ascii="宋体" w:hAnsi="宋体" w:cs="宋体" w:eastAsiaTheme="minorEastAsia"/>
                <w:kern w:val="0"/>
                <w:sz w:val="20"/>
                <w:szCs w:val="20"/>
                <w:lang w:val="en-US"/>
              </w:rPr>
              <w:t>　</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112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3"/>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按照政府债券资金管理要求规范管理使用，于发行之日起3个月内将20万元资金使用完毕。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10</w:t>
            </w:r>
            <w:r>
              <w:rPr>
                <w:rFonts w:hint="eastAsia" w:ascii="宋体" w:hAnsi="宋体" w:cs="宋体" w:eastAsiaTheme="minorEastAsia"/>
                <w:kern w:val="0"/>
                <w:sz w:val="20"/>
                <w:szCs w:val="20"/>
              </w:rPr>
              <w:t>月30日前已将</w:t>
            </w:r>
            <w:r>
              <w:rPr>
                <w:rFonts w:hint="eastAsia" w:ascii="宋体" w:hAnsi="宋体" w:cs="宋体" w:eastAsiaTheme="minorEastAsia"/>
                <w:kern w:val="0"/>
                <w:sz w:val="20"/>
                <w:szCs w:val="20"/>
                <w:lang w:val="en-US" w:eastAsia="zh-CN"/>
              </w:rPr>
              <w:t>20</w:t>
            </w:r>
            <w:r>
              <w:rPr>
                <w:rFonts w:hint="eastAsia" w:ascii="宋体" w:hAnsi="宋体" w:cs="宋体" w:eastAsiaTheme="minorEastAsia"/>
                <w:kern w:val="0"/>
                <w:sz w:val="20"/>
                <w:szCs w:val="20"/>
              </w:rPr>
              <w:t>万元资金使用完毕</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新建U型防渗渠里程</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1500m</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1500m</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ind w:firstLine="353" w:firstLineChars="0"/>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渠道壁厚度</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3.5cm</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3.5cm</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渠道宽度</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0.64m</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0.64m</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ind w:firstLine="501" w:firstLineChars="0"/>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渠道深度</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0.5m</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0.5m</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政府债券资金三个月内形成支出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每户补助标准</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9523元</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9523元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增加贫困家庭收入</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≥500元/户</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≥500元/户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贫困群众政策知晓率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6户</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6户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激发广大贫困户自力更生，勤劳致富内生动力</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6A22"/>
    <w:multiLevelType w:val="singleLevel"/>
    <w:tmpl w:val="02EE6A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D4252EE"/>
    <w:rsid w:val="0E024ECD"/>
    <w:rsid w:val="18E776F7"/>
    <w:rsid w:val="27BF33A4"/>
    <w:rsid w:val="28B71FAE"/>
    <w:rsid w:val="33DA3C26"/>
    <w:rsid w:val="3F0F2990"/>
    <w:rsid w:val="40774048"/>
    <w:rsid w:val="48997A9B"/>
    <w:rsid w:val="57E44C7C"/>
    <w:rsid w:val="594B6497"/>
    <w:rsid w:val="5C346840"/>
    <w:rsid w:val="6272715C"/>
    <w:rsid w:val="651F408B"/>
    <w:rsid w:val="67762DD6"/>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3</TotalTime>
  <ScaleCrop>false</ScaleCrop>
  <LinksUpToDate>false</LinksUpToDate>
  <CharactersWithSpaces>1329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Nikki1380446579</cp:lastModifiedBy>
  <cp:lastPrinted>2019-10-21T11:36:00Z</cp:lastPrinted>
  <dcterms:modified xsi:type="dcterms:W3CDTF">2019-11-10T05:28:54Z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